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Sinteză trimestrul II 2026: piața muncii în Sud-Vest Oltenia</w:t>
      </w:r>
    </w:p>
    <w:p>
      <w:pPr/>
      <w:r>
        <w:t xml:space="preserve">ACT – Abilități și calificare pentru tineri (PEO/440/PEO_P2/OP4/ESO4.1/PEO_A47/336479) · Subactivitatea 4.1 · Sinteză a rapoartelor pentru lunile aprilie, mai și iunie 2026</w:t>
      </w:r>
    </w:p>
    <w:p>
      <w:pPr>
        <w:pStyle w:val="Heading2"/>
      </w:pPr>
      <w:r>
        <w:t xml:space="preserve">Concluzia principală</w:t>
      </w:r>
    </w:p>
    <w:p>
      <w:pPr/>
      <w:r>
        <w:t xml:space="preserve">În T2 2026, ameliorarea sezonieră de primăvară s-a transmis inegal în regiune. Problemele rămân structurale: nepotrivirea dintre competențe și cerere, nivelul scăzut de instruire și dezechilibrul urban-rural. Regiunea nu are o singură piață a muncii, ci cel puțin trei: una care funcționează aproape normal (Vâlcea), una blocată structural (Dolj, Mehedinți, Olt) și una în tranziție dureroasă (Gorj).</w:t>
      </w:r>
    </w:p>
    <w:p>
      <w:pPr>
        <w:pStyle w:val="Heading2"/>
      </w:pPr>
      <w:r>
        <w:t xml:space="preserve">Cadrul național</w:t>
      </w:r>
    </w:p>
    <w:p>
      <w:pPr>
        <w:pStyle w:val="ListParagraph"/>
        <w:numPr>
          <w:ilvl w:val="0"/>
          <w:numId w:val="2"/>
        </w:numPr>
      </w:pPr>
      <w:r>
        <w:t xml:space="preserve">Rata șomajului înregistrat a coborât de la 3,35% în ianuarie (268.111 șomeri) la 3,25% în martie și 3,24% în aprilie (259.160). Scăderea, de aproape 9.000 de persoane, este în mare parte sezonieră.</w:t>
      </w:r>
    </w:p>
    <w:p>
      <w:pPr>
        <w:pStyle w:val="ListParagraph"/>
        <w:numPr>
          <w:ilvl w:val="0"/>
          <w:numId w:val="2"/>
        </w:numPr>
      </w:pPr>
      <w:r>
        <w:t xml:space="preserve">Rata BIM (INS) se situa în jur de 6%. Diferența față de cifra ANOFM reprezintă „zona gri” a persoanelor care caută de lucru fără să se înregistreze, probabil mai mare în Oltenia, din cauza muncii informale și a agriculturii de subzistență.</w:t>
      </w:r>
    </w:p>
    <w:p>
      <w:pPr>
        <w:pStyle w:val="ListParagraph"/>
        <w:numPr>
          <w:ilvl w:val="0"/>
          <w:numId w:val="2"/>
        </w:numPr>
      </w:pPr>
      <w:r>
        <w:t xml:space="preserve">Ponderea neindemnizaților este de aproximativ 76%, iar aproape trei sferturi dintre șomeri provin din rural.</w:t>
      </w:r>
    </w:p>
    <w:p>
      <w:pPr>
        <w:pStyle w:val="Heading2"/>
      </w:pPr>
      <w:r>
        <w:t xml:space="preserve">Evoluția pe județe</w:t>
      </w:r>
    </w:p>
    <w:tbl>
      <w:tblPr>
        <w:tblStyle w:val="TableGrid"/>
        <w:tblW w:w="0" w:type="auto"/>
        <w:tblLayout w:type="fixed"/>
        <w:tblLook w:val="04A0" w:firstRow="1" w:lastRow="0" w:firstColumn="0" w:lastColumn="0" w:noHBand="0" w:noVBand="1"/>
      </w:tblPr>
      <w:tblGrid>
        <w:gridCol w:w="1413"/>
        <w:gridCol w:w="3027"/>
        <w:gridCol w:w="4920"/>
      </w:tblGrid>
      <w:tr>
        <w:trPr>
          <w:tblHeader/>
        </w:trPr>
        <w:tc>
          <w:tcPr>
            <w:tcW w:w="1413" w:type="dxa"/>
            <w:shd w:val="clear" w:color="auto" w:fill="F2F2F2"/>
          </w:tcPr>
          <w:p>
            <w:pPr/>
            <w:r>
              <w:t xml:space="preserve">Județ</w:t>
            </w:r>
          </w:p>
        </w:tc>
        <w:tc>
          <w:tcPr>
            <w:tcW w:w="3027" w:type="dxa"/>
            <w:shd w:val="clear" w:color="auto" w:fill="F2F2F2"/>
          </w:tcPr>
          <w:p>
            <w:pPr/>
            <w:r>
              <w:t xml:space="preserve">Evoluție în T2</w:t>
            </w:r>
          </w:p>
        </w:tc>
        <w:tc>
          <w:tcPr>
            <w:tcW w:w="4920" w:type="dxa"/>
            <w:shd w:val="clear" w:color="auto" w:fill="F2F2F2"/>
          </w:tcPr>
          <w:p>
            <w:pPr/>
            <w:r>
              <w:t xml:space="preserve">Reper structural</w:t>
            </w:r>
          </w:p>
        </w:tc>
      </w:tr>
      <w:tr>
        <w:tc>
          <w:tcPr>
            <w:tcW w:w="1413" w:type="dxa"/>
          </w:tcPr>
          <w:p>
            <w:pPr/>
            <w:r>
              <w:t xml:space="preserve">Vâlcea</w:t>
            </w:r>
          </w:p>
        </w:tc>
        <w:tc>
          <w:tcPr>
            <w:tcW w:w="3027" w:type="dxa"/>
          </w:tcPr>
          <w:p>
            <w:pPr/>
            <w:r>
              <w:t xml:space="preserve">3,24% (ian.) → 3,01% (mar.) → 2,82% (apr.), sub media națională</w:t>
            </w:r>
          </w:p>
        </w:tc>
        <w:tc>
          <w:tcPr>
            <w:tcW w:w="4920" w:type="dxa"/>
          </w:tcPr>
          <w:p>
            <w:pPr/>
            <w:r>
              <w:t xml:space="preserve">Economie diversificată (chimie, energie, turism balnear); pondere mai mare de indemnizați și de ușor ocupabili</w:t>
            </w:r>
          </w:p>
        </w:tc>
      </w:tr>
      <w:tr>
        <w:tc>
          <w:tcPr>
            <w:tcW w:w="1413" w:type="dxa"/>
          </w:tcPr>
          <w:p>
            <w:pPr/>
            <w:r>
              <w:t xml:space="preserve">Olt</w:t>
            </w:r>
          </w:p>
        </w:tc>
        <w:tc>
          <w:tcPr>
            <w:tcW w:w="3027" w:type="dxa"/>
          </w:tcPr>
          <w:p>
            <w:pPr/>
            <w:r>
              <w:t xml:space="preserve">6,22% (feb.) → 6,05% (mar.) → 6,01% (apr.)</w:t>
            </w:r>
          </w:p>
        </w:tc>
        <w:tc>
          <w:tcPr>
            <w:tcW w:w="4920" w:type="dxa"/>
          </w:tcPr>
          <w:p>
            <w:pPr/>
            <w:r>
              <w:t xml:space="preserve">7.811 șomeri în martie, ~80% din rural; 1.788 foarte greu și 4.199 greu ocupabili, doar 83 ușor ocupabili; dependență de combinatul de aluminiu de la Slatina</w:t>
            </w:r>
          </w:p>
        </w:tc>
      </w:tr>
      <w:tr>
        <w:tc>
          <w:tcPr>
            <w:tcW w:w="1413" w:type="dxa"/>
          </w:tcPr>
          <w:p>
            <w:pPr/>
            <w:r>
              <w:t xml:space="preserve">Mehedinți</w:t>
            </w:r>
          </w:p>
        </w:tc>
        <w:tc>
          <w:tcPr>
            <w:tcW w:w="3027" w:type="dxa"/>
          </w:tcPr>
          <w:p>
            <w:pPr/>
            <w:r>
              <w:t xml:space="preserve">~8,7%, cu 8,78% în aprilie</w:t>
            </w:r>
          </w:p>
        </w:tc>
        <w:tc>
          <w:tcPr>
            <w:tcW w:w="4920" w:type="dxa"/>
          </w:tcPr>
          <w:p>
            <w:pPr/>
            <w:r>
              <w:t xml:space="preserve">7.448 șomeri în aprilie, din care 6.283 neindemnizați; 84,31% din rural în mai; ~44% femei</w:t>
            </w:r>
          </w:p>
        </w:tc>
      </w:tr>
      <w:tr>
        <w:tc>
          <w:tcPr>
            <w:tcW w:w="1413" w:type="dxa"/>
          </w:tcPr>
          <w:p>
            <w:pPr/>
            <w:r>
              <w:t xml:space="preserve">Dolj</w:t>
            </w:r>
          </w:p>
        </w:tc>
        <w:tc>
          <w:tcPr>
            <w:tcW w:w="3027" w:type="dxa"/>
          </w:tcPr>
          <w:p>
            <w:pPr/>
            <w:r>
              <w:t xml:space="preserve">Peste 8%, fără mișcări structurale</w:t>
            </w:r>
          </w:p>
        </w:tc>
        <w:tc>
          <w:tcPr>
            <w:tcW w:w="4920" w:type="dxa"/>
          </w:tcPr>
          <w:p>
            <w:pPr/>
            <w:r>
              <w:t xml:space="preserve">Peste 20.000 de șomeri; 90,55% neindemnizați (maximul pe țară în ianuarie); cel mai mare volum absolut din regiune</w:t>
            </w:r>
          </w:p>
        </w:tc>
      </w:tr>
      <w:tr>
        <w:tc>
          <w:tcPr>
            <w:tcW w:w="1413" w:type="dxa"/>
          </w:tcPr>
          <w:p>
            <w:pPr/>
            <w:r>
              <w:t xml:space="preserve">Gorj</w:t>
            </w:r>
          </w:p>
        </w:tc>
        <w:tc>
          <w:tcPr>
            <w:tcW w:w="3027" w:type="dxa"/>
          </w:tcPr>
          <w:p>
            <w:pPr/>
            <w:r>
              <w:t xml:space="preserve">Singurul județ cu creștere: de la ~4% la ~5% la sfârșitul lui aprilie</w:t>
            </w:r>
          </w:p>
        </w:tc>
        <w:tc>
          <w:tcPr>
            <w:tcW w:w="4920" w:type="dxa"/>
          </w:tcPr>
          <w:p>
            <w:pPr/>
            <w:r>
              <w:t xml:space="preserve">Șoc punctual: încetarea contractelor determinate din energie; ~400 de firme închise și ~3.000 de locuri de muncă pierdute în 2023–2026</w:t>
            </w:r>
          </w:p>
        </w:tc>
      </w:tr>
    </w:tbl>
    <w:p>
      <w:pPr>
        <w:pStyle w:val="Heading2"/>
      </w:pPr>
      <w:r>
        <w:t xml:space="preserve">Tiparele structurale</w:t>
      </w:r>
    </w:p>
    <w:p>
      <w:pPr>
        <w:pStyle w:val="ListParagraph"/>
        <w:numPr>
          <w:ilvl w:val="0"/>
          <w:numId w:val="3"/>
        </w:numPr>
      </w:pPr>
      <w:r>
        <w:rPr>
          <w:b/>
        </w:rPr>
        <w:t xml:space="preserve">Vârstă:</w:t>
      </w:r>
      <w:r>
        <w:t xml:space="preserve"> șomajul se concentrează la peste 55 de ani (65.794) și 40–49 de ani (62.782). Tinerii apar mai puțin în evidențe și din cauza migrației.</w:t>
      </w:r>
    </w:p>
    <w:p>
      <w:pPr>
        <w:pStyle w:val="ListParagraph"/>
        <w:numPr>
          <w:ilvl w:val="0"/>
          <w:numId w:val="3"/>
        </w:numPr>
      </w:pPr>
      <w:r>
        <w:rPr>
          <w:b/>
        </w:rPr>
        <w:t xml:space="preserve">Instruire:</w:t>
      </w:r>
      <w:r>
        <w:t xml:space="preserve"> aproape două treimi dintre șomeri au cel mult studii gimnaziale (29,24% fără studii sau primare, 34,11% gimnaziale), iar absolvenții de studii superioare sunt doar 4,83%.</w:t>
      </w:r>
    </w:p>
    <w:p>
      <w:pPr>
        <w:pStyle w:val="ListParagraph"/>
        <w:numPr>
          <w:ilvl w:val="0"/>
          <w:numId w:val="3"/>
        </w:numPr>
      </w:pPr>
      <w:r>
        <w:rPr>
          <w:b/>
        </w:rPr>
        <w:t xml:space="preserve">Mediu:</w:t>
      </w:r>
      <w:r>
        <w:t xml:space="preserve"> locurile de muncă sunt în orașe, șomerii în sate. Naveta costisitoare și transportul public deficitar limitează efectul primelor de mobilitate.</w:t>
      </w:r>
    </w:p>
    <w:p>
      <w:pPr>
        <w:pStyle w:val="ListParagraph"/>
        <w:numPr>
          <w:ilvl w:val="0"/>
          <w:numId w:val="3"/>
        </w:numPr>
      </w:pPr>
      <w:r>
        <w:rPr>
          <w:b/>
        </w:rPr>
        <w:t xml:space="preserve">Ocupabilitate:</w:t>
      </w:r>
      <w:r>
        <w:t xml:space="preserve"> profilul Mehedințiului și al Oltului (aproape toți greu sau foarte greu ocupabili) contrastează puternic cu Vâlcea.</w:t>
      </w:r>
    </w:p>
    <w:p>
      <w:pPr>
        <w:pStyle w:val="ListParagraph"/>
        <w:numPr>
          <w:ilvl w:val="0"/>
          <w:numId w:val="3"/>
        </w:numPr>
      </w:pPr>
      <w:r>
        <w:rPr>
          <w:b/>
        </w:rPr>
        <w:t xml:space="preserve">Gen:</w:t>
      </w:r>
      <w:r>
        <w:t xml:space="preserve"> femeile reprezintă aproape jumătate dintre șomeri (125.466 în martie la nivel național), dar cifra subestimează situația reală, pentru că multe femei din rural nu se înregistrează.</w:t>
      </w:r>
    </w:p>
    <w:p>
      <w:pPr>
        <w:pStyle w:val="ListParagraph"/>
        <w:numPr>
          <w:ilvl w:val="0"/>
          <w:numId w:val="3"/>
        </w:numPr>
      </w:pPr>
      <w:r>
        <w:rPr>
          <w:b/>
        </w:rPr>
        <w:t xml:space="preserve">Șomaj de lungă durată:</w:t>
      </w:r>
      <w:r>
        <w:t xml:space="preserve"> incidență națională de ~35% din total (rata ~2,1%), probabil mai mare în regiune. Ponderea neindemnizaților este indicatorul indirect al cronicizării.</w:t>
      </w:r>
    </w:p>
    <w:p>
      <w:pPr>
        <w:pStyle w:val="Heading2"/>
      </w:pPr>
      <w:r>
        <w:t xml:space="preserve">Cererea de muncă</w:t>
      </w:r>
    </w:p>
    <w:p>
      <w:pPr/>
      <w:r>
        <w:t xml:space="preserve">Posturile vacante sunt modeste ca volum și concentrate urban. Predomină meseriile tehnice: sudor, lăcătuș, electrician, operator cablaje și, în Mehedinți, construcții navale. Dolj are o ofertă diversificată, de la programator și inginer la muncă necalificată. Paradoxul regiunii este că există locuri neocupate și mii de șomeri, dar competențele nu se potrivesc. AJOFM Mehedinți organizează cursuri de calificare (bucătar, cofetar, cameristă, electrician), dar nivelul de bază este adesea prea scăzut pentru a intra în ele.</w:t>
      </w:r>
    </w:p>
    <w:p>
      <w:pPr>
        <w:pStyle w:val="Heading2"/>
      </w:pPr>
      <w:r>
        <w:t xml:space="preserve">Tinerii</w:t>
      </w:r>
    </w:p>
    <w:p>
      <w:pPr>
        <w:pStyle w:val="ListParagraph"/>
        <w:numPr>
          <w:ilvl w:val="0"/>
          <w:numId w:val="4"/>
        </w:numPr>
      </w:pPr>
      <w:r>
        <w:t xml:space="preserve">Rata șomajului la 15–24 de ani a fost de 28,8% în T1 (INS), de aproape cinci ori peste rata BIM generală.</w:t>
      </w:r>
    </w:p>
    <w:p>
      <w:pPr>
        <w:pStyle w:val="ListParagraph"/>
        <w:numPr>
          <w:ilvl w:val="0"/>
          <w:numId w:val="4"/>
        </w:numPr>
      </w:pPr>
      <w:r>
        <w:t xml:space="preserve">Aproape jumătate dintre tinerii șomeri depășesc șase luni fără ocupație, conform Digi24.</w:t>
      </w:r>
    </w:p>
    <w:p>
      <w:pPr>
        <w:pStyle w:val="ListParagraph"/>
        <w:numPr>
          <w:ilvl w:val="0"/>
          <w:numId w:val="4"/>
        </w:numPr>
      </w:pPr>
      <w:r>
        <w:t xml:space="preserve">Emigrarea tinerilor calificați reprezintă o pierdere dublă pentru regiune.</w:t>
      </w:r>
    </w:p>
    <w:p>
      <w:pPr>
        <w:pStyle w:val="ListParagraph"/>
        <w:numPr>
          <w:ilvl w:val="0"/>
          <w:numId w:val="4"/>
        </w:numPr>
      </w:pPr>
      <w:r>
        <w:t xml:space="preserve">Învățământul dual și profesional este văzut ca principala cale de reducere a nepotrivirii.</w:t>
      </w:r>
    </w:p>
    <w:p>
      <w:pPr>
        <w:pStyle w:val="Heading2"/>
      </w:pPr>
      <w:r>
        <w:t xml:space="preserve">Fonduri europene și politici active</w:t>
      </w:r>
    </w:p>
    <w:p>
      <w:pPr>
        <w:pStyle w:val="ListParagraph"/>
        <w:numPr>
          <w:ilvl w:val="0"/>
          <w:numId w:val="5"/>
        </w:numPr>
      </w:pPr>
      <w:r>
        <w:t xml:space="preserve">La nivelul ADR Sud-Vest Oltenia, 89 de IMM-uri au depus proiecte pe Fondul pentru Tranziție Justă, cu 1.572 de locuri de muncă prevăzute. Doar 31 erau create la momentul raportării (raport de aproximativ 50 la 1), iar 7 firme au reziliat contractele.</w:t>
      </w:r>
    </w:p>
    <w:p>
      <w:pPr>
        <w:pStyle w:val="ListParagraph"/>
        <w:numPr>
          <w:ilvl w:val="0"/>
          <w:numId w:val="5"/>
        </w:numPr>
      </w:pPr>
      <w:r>
        <w:t xml:space="preserve">Instrumentele active (mediere, calificare, subvenții, prime de mobilitate) facilitează întâlnirea dintre cerere și ofertă, dar nu pot crea cerere într-o economie locală în declin.</w:t>
      </w:r>
    </w:p>
    <w:p>
      <w:pPr>
        <w:pStyle w:val="Heading2"/>
      </w:pPr>
      <w:r>
        <w:t xml:space="preserve">Riscuri și perspective pentru H2 2026</w:t>
      </w:r>
    </w:p>
    <w:p>
      <w:pPr>
        <w:pStyle w:val="ListParagraph"/>
        <w:numPr>
          <w:ilvl w:val="0"/>
          <w:numId w:val="6"/>
        </w:numPr>
      </w:pPr>
      <w:r>
        <w:rPr>
          <w:b/>
        </w:rPr>
        <w:t xml:space="preserve">Nefavorabile:</w:t>
      </w:r>
      <w:r>
        <w:t xml:space="preserve"> continuarea restructurării energetice din Gorj, reducerile de personal din administrație (relevante pentru Dolj), o eventuală încetinire europeană care ar lovi aluminiul de la Slatina și auto din Craiova, repatrierea emigranților, capcana inactivității (salariu apropiat de ajutoarele sociale) și declinul demografic.</w:t>
      </w:r>
    </w:p>
    <w:p>
      <w:pPr>
        <w:pStyle w:val="ListParagraph"/>
        <w:numPr>
          <w:ilvl w:val="0"/>
          <w:numId w:val="6"/>
        </w:numPr>
      </w:pPr>
      <w:r>
        <w:rPr>
          <w:b/>
        </w:rPr>
        <w:t xml:space="preserve">Favorabile:</w:t>
      </w:r>
      <w:r>
        <w:t xml:space="preserve"> proiectele de infrastructură (construcții), turismul sezonier, fondurile de tranziție justă și Programul Regional, sprijinirea IMM-urilor locale.</w:t>
      </w:r>
    </w:p>
    <w:p>
      <w:pPr>
        <w:pStyle w:val="ListParagraph"/>
        <w:numPr>
          <w:ilvl w:val="0"/>
          <w:numId w:val="6"/>
        </w:numPr>
      </w:pPr>
      <w:r>
        <w:rPr>
          <w:b/>
        </w:rPr>
        <w:t xml:space="preserve">Soluția indicată de rapoarte:</w:t>
      </w:r>
      <w:r>
        <w:t xml:space="preserve"> o abordare integrată, care să lege educația de cererea angajatorilor, locurile de muncă de teritoriu și ocuparea de transport și asistență socială.</w:t>
      </w:r>
    </w:p>
    <w:p>
      <w:pPr>
        <w:pStyle w:val="Heading2"/>
      </w:pPr>
      <w:r>
        <w:t xml:space="preserve">Puncte de verificat înainte de a folosi sinteza</w:t>
      </w:r>
    </w:p>
    <w:p>
      <w:pPr>
        <w:pStyle w:val="ListParagraph"/>
        <w:numPr>
          <w:ilvl w:val="0"/>
          <w:numId w:val="7"/>
        </w:numPr>
      </w:pPr>
      <w:r>
        <w:rPr>
          <w:b/>
        </w:rPr>
        <w:t xml:space="preserve">Date naționale incomplete în cele trei rapoarte:</w:t>
      </w:r>
      <w:r>
        <w:t xml:space="preserve"> se opresc la aprilie (3,24%). Din materialele de iulie rezultă că minimul anului a fost 3,21% în mai și 3,20% în iunie (256.314 șomeri). Cifrele pentru mai și iunie (inclusiv Mehedinți 8,61% în mai și Dolj 8,42% în iunie) nu apar în rapoartele T2, deci sunt menționate doar aici, ca sursă separată.</w:t>
      </w:r>
    </w:p>
    <w:p>
      <w:pPr>
        <w:pStyle w:val="ListParagraph"/>
        <w:numPr>
          <w:ilvl w:val="0"/>
          <w:numId w:val="7"/>
        </w:numPr>
      </w:pPr>
      <w:r>
        <w:rPr>
          <w:b/>
        </w:rPr>
        <w:t xml:space="preserve">Eroare de calcul în raportul din aprilie:</w:t>
      </w:r>
      <w:r>
        <w:t xml:space="preserve"> urban (71.213) plus rural (195.898) dă 267.111, nu 268.111 cât este totalul. Una dintre cifre trebuie corectată.</w:t>
      </w:r>
    </w:p>
    <w:p>
      <w:pPr>
        <w:pStyle w:val="ListParagraph"/>
        <w:numPr>
          <w:ilvl w:val="0"/>
          <w:numId w:val="7"/>
        </w:numPr>
      </w:pPr>
      <w:r>
        <w:rPr>
          <w:b/>
        </w:rPr>
        <w:t xml:space="preserve">Cifre identice pentru Vâlcea la date diferite:</w:t>
      </w:r>
      <w:r>
        <w:t xml:space="preserve"> 4.175 șomeri și 3,01% apar atât la 31 martie (raportul din mai), cât și la 30 iunie (materialele din iulie), dar cu o structură diferită (1.733/2.442 față de 1.631/2.544). Merită confirmat la AJOFM Vâlcea dacă nu este o suprapunere.</w:t>
      </w:r>
    </w:p>
    <w:p>
      <w:pPr>
        <w:pStyle w:val="ListParagraph"/>
        <w:numPr>
          <w:ilvl w:val="0"/>
          <w:numId w:val="7"/>
        </w:numPr>
      </w:pPr>
      <w:r>
        <w:rPr>
          <w:b/>
        </w:rPr>
        <w:t xml:space="preserve">Estimări marcate ca atare:</w:t>
      </w:r>
      <w:r>
        <w:t xml:space="preserve"> Dolj (≈8,5–8,6%) și Gorj (~4–5%) sunt estimări, nu valori oficiale lunare.</w:t>
      </w:r>
    </w:p>
    <w:p>
      <w:pPr>
        <w:pStyle w:val="ListParagraph"/>
        <w:numPr>
          <w:ilvl w:val="0"/>
          <w:numId w:val="7"/>
        </w:numPr>
      </w:pPr>
      <w:r>
        <w:rPr>
          <w:b/>
        </w:rPr>
        <w:t xml:space="preserve">Raportul din iunie:</w:t>
      </w:r>
      <w:r>
        <w:t xml:space="preserve"> secțiunea de metodologie repetă formulări din aprilie („la începutul lunii aprilie”, cifra de 268.111), deci ar trebui actualizată.</w:t>
      </w:r>
    </w:p>
    <w:p>
      <w:pPr>
        <w:pStyle w:val="ListParagraph"/>
        <w:numPr>
          <w:ilvl w:val="0"/>
          <w:numId w:val="7"/>
        </w:numPr>
      </w:pPr>
      <w:r>
        <w:rPr>
          <w:b/>
        </w:rPr>
        <w:t xml:space="preserve">Tinerii în șomaj de lungă durată:</w:t>
      </w:r>
      <w:r>
        <w:t xml:space="preserve"> „aproape jumătate” (Digi24, T2) diferă de ~30% din datele ANOFM din iunie, care folosesc definiția revizuită prin OUG 11/2026, deci cele două cifre nu sunt comparabile direct.</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0"/>
  </w:num>
  <w:num w:numId="6">
    <w:abstractNumId w:val="0"/>
  </w:num>
  <w:num w:numId="7">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Sinteză trimestrul II 2026 piața muncii în Sud-Vest Oltenia</dc:title>
  <dc:description>Claude Docs node/c915c133-f18c@1 docx-w7</dc:description>
  <cp:revision>1</cp:revision>
</cp:coreProperties>
</file>