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6D247BD" w14:textId="77777777" w:rsidR="00B57A6D" w:rsidRDefault="00000000">
      <w:pPr>
        <w:spacing w:before="2600"/>
        <w:jc w:val="center"/>
      </w:pPr>
      <w:r>
        <w:rPr>
          <w:b/>
          <w:bCs/>
          <w:color w:val="1F4E79"/>
          <w:sz w:val="28"/>
          <w:szCs w:val="28"/>
        </w:rPr>
        <w:t>RAPORT DE ANALIZĂ</w:t>
      </w:r>
    </w:p>
    <w:p w14:paraId="2C1706A3" w14:textId="77777777" w:rsidR="00B57A6D" w:rsidRDefault="00000000">
      <w:pPr>
        <w:spacing w:before="240"/>
        <w:jc w:val="center"/>
      </w:pPr>
      <w:proofErr w:type="spellStart"/>
      <w:r>
        <w:rPr>
          <w:b/>
          <w:bCs/>
          <w:sz w:val="40"/>
          <w:szCs w:val="40"/>
        </w:rPr>
        <w:t>Evoluția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pieței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muncii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în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regiunea</w:t>
      </w:r>
      <w:proofErr w:type="spellEnd"/>
      <w:r>
        <w:rPr>
          <w:b/>
          <w:bCs/>
          <w:sz w:val="40"/>
          <w:szCs w:val="40"/>
        </w:rPr>
        <w:t xml:space="preserve"> Sud-Vest </w:t>
      </w:r>
      <w:proofErr w:type="spellStart"/>
      <w:r>
        <w:rPr>
          <w:b/>
          <w:bCs/>
          <w:sz w:val="40"/>
          <w:szCs w:val="40"/>
        </w:rPr>
        <w:t>Oltenia</w:t>
      </w:r>
      <w:proofErr w:type="spellEnd"/>
    </w:p>
    <w:p w14:paraId="0A66610D" w14:textId="77777777" w:rsidR="00B57A6D" w:rsidRDefault="00000000">
      <w:pPr>
        <w:spacing w:before="200"/>
        <w:jc w:val="center"/>
      </w:pPr>
      <w:proofErr w:type="spellStart"/>
      <w:r>
        <w:rPr>
          <w:b/>
          <w:bCs/>
          <w:color w:val="1F4E79"/>
          <w:sz w:val="30"/>
          <w:szCs w:val="30"/>
        </w:rPr>
        <w:t>Trimestrul</w:t>
      </w:r>
      <w:proofErr w:type="spellEnd"/>
      <w:r>
        <w:rPr>
          <w:b/>
          <w:bCs/>
          <w:color w:val="1F4E79"/>
          <w:sz w:val="30"/>
          <w:szCs w:val="30"/>
        </w:rPr>
        <w:t xml:space="preserve"> al II-lea 2026</w:t>
      </w:r>
    </w:p>
    <w:p w14:paraId="14A5EE4A" w14:textId="77777777" w:rsidR="00B57A6D" w:rsidRDefault="00000000">
      <w:pPr>
        <w:spacing w:before="120"/>
        <w:jc w:val="center"/>
      </w:pPr>
      <w:proofErr w:type="spellStart"/>
      <w:r>
        <w:t>Perioada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: </w:t>
      </w:r>
      <w:proofErr w:type="spellStart"/>
      <w:r>
        <w:t>aprilie</w:t>
      </w:r>
      <w:proofErr w:type="spellEnd"/>
      <w:r>
        <w:t xml:space="preserve"> – </w:t>
      </w:r>
      <w:proofErr w:type="spellStart"/>
      <w:r>
        <w:t>iunie</w:t>
      </w:r>
      <w:proofErr w:type="spellEnd"/>
      <w:r>
        <w:t xml:space="preserve"> 2026</w:t>
      </w:r>
    </w:p>
    <w:p w14:paraId="3CB35A0F" w14:textId="77777777" w:rsidR="00B57A6D" w:rsidRDefault="00000000">
      <w:pPr>
        <w:spacing w:before="60"/>
        <w:jc w:val="center"/>
      </w:pPr>
      <w:proofErr w:type="spellStart"/>
      <w:r>
        <w:rPr>
          <w:i/>
          <w:iCs/>
        </w:rPr>
        <w:t>Județele</w:t>
      </w:r>
      <w:proofErr w:type="spellEnd"/>
      <w:r>
        <w:rPr>
          <w:i/>
          <w:iCs/>
        </w:rPr>
        <w:t xml:space="preserve"> Dolj, Gorj, </w:t>
      </w:r>
      <w:proofErr w:type="spellStart"/>
      <w:r>
        <w:rPr>
          <w:i/>
          <w:iCs/>
        </w:rPr>
        <w:t>Mehedinți</w:t>
      </w:r>
      <w:proofErr w:type="spellEnd"/>
      <w:r>
        <w:rPr>
          <w:i/>
          <w:iCs/>
        </w:rPr>
        <w:t xml:space="preserve">, Olt </w:t>
      </w:r>
      <w:proofErr w:type="spellStart"/>
      <w:r>
        <w:rPr>
          <w:i/>
          <w:iCs/>
        </w:rPr>
        <w:t>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Vâlcea</w:t>
      </w:r>
      <w:proofErr w:type="spellEnd"/>
    </w:p>
    <w:p w14:paraId="4792CEBC" w14:textId="77777777" w:rsidR="00B57A6D" w:rsidRDefault="00000000">
      <w:pPr>
        <w:spacing w:before="700"/>
        <w:jc w:val="center"/>
      </w:pPr>
      <w:r>
        <w:rPr>
          <w:i/>
          <w:iCs/>
          <w:color w:val="595959"/>
          <w:sz w:val="22"/>
          <w:szCs w:val="22"/>
        </w:rPr>
        <w:t xml:space="preserve">Document </w:t>
      </w:r>
      <w:proofErr w:type="spellStart"/>
      <w:r>
        <w:rPr>
          <w:i/>
          <w:iCs/>
          <w:color w:val="595959"/>
          <w:sz w:val="22"/>
          <w:szCs w:val="22"/>
        </w:rPr>
        <w:t>elaborat</w:t>
      </w:r>
      <w:proofErr w:type="spellEnd"/>
      <w:r>
        <w:rPr>
          <w:i/>
          <w:iCs/>
          <w:color w:val="595959"/>
          <w:sz w:val="22"/>
          <w:szCs w:val="22"/>
        </w:rPr>
        <w:t xml:space="preserve"> pe </w:t>
      </w:r>
      <w:proofErr w:type="spellStart"/>
      <w:r>
        <w:rPr>
          <w:i/>
          <w:iCs/>
          <w:color w:val="595959"/>
          <w:sz w:val="22"/>
          <w:szCs w:val="22"/>
        </w:rPr>
        <w:t>baza</w:t>
      </w:r>
      <w:proofErr w:type="spellEnd"/>
      <w:r>
        <w:rPr>
          <w:i/>
          <w:iCs/>
          <w:color w:val="595959"/>
          <w:sz w:val="22"/>
          <w:szCs w:val="22"/>
        </w:rPr>
        <w:t xml:space="preserve"> </w:t>
      </w:r>
      <w:proofErr w:type="spellStart"/>
      <w:r>
        <w:rPr>
          <w:i/>
          <w:iCs/>
          <w:color w:val="595959"/>
          <w:sz w:val="22"/>
          <w:szCs w:val="22"/>
        </w:rPr>
        <w:t>datelor</w:t>
      </w:r>
      <w:proofErr w:type="spellEnd"/>
      <w:r>
        <w:rPr>
          <w:i/>
          <w:iCs/>
          <w:color w:val="595959"/>
          <w:sz w:val="22"/>
          <w:szCs w:val="22"/>
        </w:rPr>
        <w:t xml:space="preserve"> </w:t>
      </w:r>
      <w:proofErr w:type="spellStart"/>
      <w:r>
        <w:rPr>
          <w:i/>
          <w:iCs/>
          <w:color w:val="595959"/>
          <w:sz w:val="22"/>
          <w:szCs w:val="22"/>
        </w:rPr>
        <w:t>oficiale</w:t>
      </w:r>
      <w:proofErr w:type="spellEnd"/>
      <w:r>
        <w:rPr>
          <w:i/>
          <w:iCs/>
          <w:color w:val="595959"/>
          <w:sz w:val="22"/>
          <w:szCs w:val="22"/>
        </w:rPr>
        <w:t xml:space="preserve"> ANOFM, AJOFM </w:t>
      </w:r>
      <w:proofErr w:type="spellStart"/>
      <w:r>
        <w:rPr>
          <w:i/>
          <w:iCs/>
          <w:color w:val="595959"/>
          <w:sz w:val="22"/>
          <w:szCs w:val="22"/>
        </w:rPr>
        <w:t>și</w:t>
      </w:r>
      <w:proofErr w:type="spellEnd"/>
      <w:r>
        <w:rPr>
          <w:i/>
          <w:iCs/>
          <w:color w:val="595959"/>
          <w:sz w:val="22"/>
          <w:szCs w:val="22"/>
        </w:rPr>
        <w:t xml:space="preserve"> INS</w:t>
      </w:r>
    </w:p>
    <w:p w14:paraId="6611E19B" w14:textId="77777777" w:rsidR="00B57A6D" w:rsidRDefault="00000000">
      <w:pPr>
        <w:spacing w:before="60"/>
        <w:jc w:val="center"/>
      </w:pPr>
      <w:proofErr w:type="spellStart"/>
      <w:r>
        <w:rPr>
          <w:color w:val="595959"/>
          <w:sz w:val="20"/>
          <w:szCs w:val="20"/>
        </w:rPr>
        <w:t>Iunie</w:t>
      </w:r>
      <w:proofErr w:type="spellEnd"/>
      <w:r>
        <w:rPr>
          <w:color w:val="595959"/>
          <w:sz w:val="20"/>
          <w:szCs w:val="20"/>
        </w:rPr>
        <w:t xml:space="preserve"> 2026</w:t>
      </w:r>
    </w:p>
    <w:p w14:paraId="5708D2F2" w14:textId="77777777" w:rsidR="00B57A6D" w:rsidRDefault="00000000">
      <w:r>
        <w:br w:type="page"/>
      </w:r>
    </w:p>
    <w:p w14:paraId="08916D60" w14:textId="77777777" w:rsidR="00B57A6D" w:rsidRDefault="00000000">
      <w:pPr>
        <w:pStyle w:val="Heading1"/>
      </w:pPr>
      <w:bookmarkStart w:id="0" w:name="_Toc232697835"/>
      <w:proofErr w:type="spellStart"/>
      <w:r>
        <w:lastRenderedPageBreak/>
        <w:t>Cuprins</w:t>
      </w:r>
      <w:bookmarkEnd w:id="0"/>
      <w:proofErr w:type="spellEnd"/>
    </w:p>
    <w:sdt>
      <w:sdtPr>
        <w:alias w:val="Cuprins"/>
        <w:id w:val="-1372070944"/>
      </w:sdtPr>
      <w:sdtContent>
        <w:p w14:paraId="4E1DBF16" w14:textId="77777777" w:rsidR="00004048" w:rsidRDefault="00000000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2697835" w:history="1">
            <w:r w:rsidR="00004048" w:rsidRPr="00616BCD">
              <w:rPr>
                <w:rStyle w:val="Hyperlink"/>
                <w:noProof/>
              </w:rPr>
              <w:t>Cuprins</w:t>
            </w:r>
            <w:r w:rsidR="00004048">
              <w:rPr>
                <w:noProof/>
              </w:rPr>
              <w:tab/>
            </w:r>
            <w:r w:rsidR="00004048">
              <w:rPr>
                <w:noProof/>
              </w:rPr>
              <w:fldChar w:fldCharType="begin"/>
            </w:r>
            <w:r w:rsidR="00004048">
              <w:rPr>
                <w:noProof/>
              </w:rPr>
              <w:instrText xml:space="preserve"> PAGEREF _Toc232697835 \h </w:instrText>
            </w:r>
            <w:r w:rsidR="00004048">
              <w:rPr>
                <w:noProof/>
              </w:rPr>
            </w:r>
            <w:r w:rsidR="00004048">
              <w:rPr>
                <w:noProof/>
              </w:rPr>
              <w:fldChar w:fldCharType="separate"/>
            </w:r>
            <w:r w:rsidR="00004048">
              <w:rPr>
                <w:noProof/>
              </w:rPr>
              <w:t>2</w:t>
            </w:r>
            <w:r w:rsidR="00004048">
              <w:rPr>
                <w:noProof/>
              </w:rPr>
              <w:fldChar w:fldCharType="end"/>
            </w:r>
          </w:hyperlink>
        </w:p>
        <w:p w14:paraId="66388635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36" w:history="1">
            <w:r w:rsidRPr="00616BCD">
              <w:rPr>
                <w:rStyle w:val="Hyperlink"/>
                <w:noProof/>
              </w:rPr>
              <w:t>Rezumat executiv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21818994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37" w:history="1">
            <w:r w:rsidRPr="00616BCD">
              <w:rPr>
                <w:rStyle w:val="Hyperlink"/>
                <w:noProof/>
              </w:rPr>
              <w:t>1. Notă introductivă și metodologică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0187C2F1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38" w:history="1">
            <w:r w:rsidRPr="00616BCD">
              <w:rPr>
                <w:rStyle w:val="Hyperlink"/>
                <w:noProof/>
              </w:rPr>
              <w:t>2. Cadrul național al pieței muncii în trimestrul al II-lea 2026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04E58AA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39" w:history="1">
            <w:r w:rsidRPr="00616BCD">
              <w:rPr>
                <w:rStyle w:val="Hyperlink"/>
                <w:noProof/>
              </w:rPr>
              <w:t>3. Regiunea Sud-Vest Oltenia: repere de context pentru trimestrul al II-lea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68AC45AD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0" w:history="1">
            <w:r w:rsidRPr="00616BCD">
              <w:rPr>
                <w:rStyle w:val="Hyperlink"/>
                <w:noProof/>
              </w:rPr>
              <w:t>4. Dinamica trimestrială: ce s-a schimbat de la începutul anului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3F9F3F0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1" w:history="1">
            <w:r w:rsidRPr="00616BCD">
              <w:rPr>
                <w:rStyle w:val="Hyperlink"/>
                <w:noProof/>
              </w:rPr>
              <w:t>5. Județul Dolj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170FFBDB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2" w:history="1">
            <w:r w:rsidRPr="00616BCD">
              <w:rPr>
                <w:rStyle w:val="Hyperlink"/>
                <w:noProof/>
              </w:rPr>
              <w:t>6. Județul Mehedinți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5B3DC6D7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3" w:history="1">
            <w:r w:rsidRPr="00616BCD">
              <w:rPr>
                <w:rStyle w:val="Hyperlink"/>
                <w:noProof/>
              </w:rPr>
              <w:t>7. Județul Olt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14:paraId="6C020E7A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4" w:history="1">
            <w:r w:rsidRPr="00616BCD">
              <w:rPr>
                <w:rStyle w:val="Hyperlink"/>
                <w:noProof/>
              </w:rPr>
              <w:t>8. Județul Vâlcea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14:paraId="25F25F80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5" w:history="1">
            <w:r w:rsidRPr="00616BCD">
              <w:rPr>
                <w:rStyle w:val="Hyperlink"/>
                <w:noProof/>
              </w:rPr>
              <w:t>9. Județul Gorj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14:paraId="5E466AAB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6" w:history="1">
            <w:r w:rsidRPr="00616BCD">
              <w:rPr>
                <w:rStyle w:val="Hyperlink"/>
                <w:noProof/>
              </w:rPr>
              <w:t>10. Oferta de locuri de muncă disponibile în regiune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14:paraId="4E7712AA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47" w:history="1">
            <w:r w:rsidRPr="00616BCD">
              <w:rPr>
                <w:rStyle w:val="Hyperlink"/>
                <w:noProof/>
              </w:rPr>
              <w:t>11. Structura șomajului regional: vârstă, educație, mediu, ocupabilitate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4913D6DA" w14:textId="77777777" w:rsidR="00004048" w:rsidRDefault="0000404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32697848" w:history="1">
            <w:r w:rsidRPr="00616BCD">
              <w:rPr>
                <w:rStyle w:val="Hyperlink"/>
                <w:noProof/>
              </w:rPr>
              <w:t>11.1. Concentrarea în segmentele de vârstă mature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192653E5" w14:textId="77777777" w:rsidR="00004048" w:rsidRDefault="0000404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32697849" w:history="1">
            <w:r w:rsidRPr="00616BCD">
              <w:rPr>
                <w:rStyle w:val="Hyperlink"/>
                <w:noProof/>
              </w:rPr>
              <w:t>11.2. Nivelul scăzut de instruire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6E6D44D7" w14:textId="77777777" w:rsidR="00004048" w:rsidRDefault="0000404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32697850" w:history="1">
            <w:r w:rsidRPr="00616BCD">
              <w:rPr>
                <w:rStyle w:val="Hyperlink"/>
                <w:noProof/>
              </w:rPr>
              <w:t>11.3. Dezechilibrul urban-rural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14:paraId="70F6E556" w14:textId="77777777" w:rsidR="00004048" w:rsidRDefault="0000404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32697851" w:history="1">
            <w:r w:rsidRPr="00616BCD">
              <w:rPr>
                <w:rStyle w:val="Hyperlink"/>
                <w:noProof/>
              </w:rPr>
              <w:t>11.4. Ocupabilitatea redusă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4AC91066" w14:textId="77777777" w:rsidR="00004048" w:rsidRDefault="00004048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32697852" w:history="1">
            <w:r w:rsidRPr="00616BCD">
              <w:rPr>
                <w:rStyle w:val="Hyperlink"/>
                <w:noProof/>
              </w:rPr>
              <w:t>11.5. Dimensiunea de 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28</w:t>
            </w:r>
            <w:r>
              <w:rPr>
                <w:noProof/>
              </w:rPr>
              <w:fldChar w:fldCharType="end"/>
            </w:r>
          </w:hyperlink>
        </w:p>
        <w:p w14:paraId="1E86F226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3" w:history="1">
            <w:r w:rsidRPr="00616BCD">
              <w:rPr>
                <w:rStyle w:val="Hyperlink"/>
                <w:noProof/>
              </w:rPr>
              <w:t>12. Tinerii și tranziția de la școală la piața muncii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29</w:t>
            </w:r>
            <w:r>
              <w:rPr>
                <w:noProof/>
              </w:rPr>
              <w:fldChar w:fldCharType="end"/>
            </w:r>
          </w:hyperlink>
        </w:p>
        <w:p w14:paraId="3A044E28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4" w:history="1">
            <w:r w:rsidRPr="00616BCD">
              <w:rPr>
                <w:rStyle w:val="Hyperlink"/>
                <w:noProof/>
              </w:rPr>
              <w:t>13. Tranziția justă, fondurile europene și politicile active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hyperlink>
        </w:p>
        <w:p w14:paraId="523730C4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5" w:history="1">
            <w:r w:rsidRPr="00616BCD">
              <w:rPr>
                <w:rStyle w:val="Hyperlink"/>
                <w:noProof/>
              </w:rPr>
              <w:t>14. Sectoarele economice care susțin și care apasă ocuparea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31</w:t>
            </w:r>
            <w:r>
              <w:rPr>
                <w:noProof/>
              </w:rPr>
              <w:fldChar w:fldCharType="end"/>
            </w:r>
          </w:hyperlink>
        </w:p>
        <w:p w14:paraId="2A56C00C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6" w:history="1">
            <w:r w:rsidRPr="00616BCD">
              <w:rPr>
                <w:rStyle w:val="Hyperlink"/>
                <w:noProof/>
              </w:rPr>
              <w:t>15. Presiunea demografică și migrația ca factori ai pieței muncii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33</w:t>
            </w:r>
            <w:r>
              <w:rPr>
                <w:noProof/>
              </w:rPr>
              <w:fldChar w:fldCharType="end"/>
            </w:r>
          </w:hyperlink>
        </w:p>
        <w:p w14:paraId="5D1254F7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7" w:history="1">
            <w:r w:rsidRPr="00616BCD">
              <w:rPr>
                <w:rStyle w:val="Hyperlink"/>
                <w:noProof/>
              </w:rPr>
              <w:t>16. Disparitatea urban-rural și mobilitatea forței de muncă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35</w:t>
            </w:r>
            <w:r>
              <w:rPr>
                <w:noProof/>
              </w:rPr>
              <w:fldChar w:fldCharType="end"/>
            </w:r>
          </w:hyperlink>
        </w:p>
        <w:p w14:paraId="235261F2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8" w:history="1">
            <w:r w:rsidRPr="00616BCD">
              <w:rPr>
                <w:rStyle w:val="Hyperlink"/>
                <w:noProof/>
              </w:rPr>
              <w:t>17. Șomajul de lungă durată și cronicizarea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37</w:t>
            </w:r>
            <w:r>
              <w:rPr>
                <w:noProof/>
              </w:rPr>
              <w:fldChar w:fldCharType="end"/>
            </w:r>
          </w:hyperlink>
        </w:p>
        <w:p w14:paraId="2A844F11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59" w:history="1">
            <w:r w:rsidRPr="00616BCD">
              <w:rPr>
                <w:rStyle w:val="Hyperlink"/>
                <w:noProof/>
              </w:rPr>
              <w:t>18. Comparație între primul și al doilea trimestru al anului 2026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39</w:t>
            </w:r>
            <w:r>
              <w:rPr>
                <w:noProof/>
              </w:rPr>
              <w:fldChar w:fldCharType="end"/>
            </w:r>
          </w:hyperlink>
        </w:p>
        <w:p w14:paraId="30DA03F6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60" w:history="1">
            <w:r w:rsidRPr="00616BCD">
              <w:rPr>
                <w:rStyle w:val="Hyperlink"/>
                <w:noProof/>
              </w:rPr>
              <w:t>19. Riscuri și perspective pentru a doua jumătate a anului 2026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40</w:t>
            </w:r>
            <w:r>
              <w:rPr>
                <w:noProof/>
              </w:rPr>
              <w:fldChar w:fldCharType="end"/>
            </w:r>
          </w:hyperlink>
        </w:p>
        <w:p w14:paraId="36D6C477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61" w:history="1">
            <w:r w:rsidRPr="00616BCD">
              <w:rPr>
                <w:rStyle w:val="Hyperlink"/>
                <w:noProof/>
              </w:rPr>
              <w:t>20. Concluzii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42</w:t>
            </w:r>
            <w:r>
              <w:rPr>
                <w:noProof/>
              </w:rPr>
              <w:fldChar w:fldCharType="end"/>
            </w:r>
          </w:hyperlink>
        </w:p>
        <w:p w14:paraId="683BE9BC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62" w:history="1">
            <w:r w:rsidRPr="00616BCD">
              <w:rPr>
                <w:rStyle w:val="Hyperlink"/>
                <w:noProof/>
              </w:rPr>
              <w:t>21. Note privind verificarea datelor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44</w:t>
            </w:r>
            <w:r>
              <w:rPr>
                <w:noProof/>
              </w:rPr>
              <w:fldChar w:fldCharType="end"/>
            </w:r>
          </w:hyperlink>
        </w:p>
        <w:p w14:paraId="5D82CFB3" w14:textId="77777777" w:rsidR="00004048" w:rsidRDefault="00004048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32697863" w:history="1">
            <w:r w:rsidRPr="00616BCD">
              <w:rPr>
                <w:rStyle w:val="Hyperlink"/>
                <w:noProof/>
              </w:rPr>
              <w:t>22. Bibliografie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_Toc232697863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45</w:t>
            </w:r>
            <w:r>
              <w:rPr>
                <w:noProof/>
              </w:rPr>
              <w:fldChar w:fldCharType="end"/>
            </w:r>
          </w:hyperlink>
        </w:p>
        <w:p w14:paraId="7E66F046" w14:textId="77777777" w:rsidR="00B57A6D" w:rsidRDefault="00000000">
          <w:r>
            <w:fldChar w:fldCharType="end"/>
          </w:r>
        </w:p>
      </w:sdtContent>
    </w:sdt>
    <w:p w14:paraId="3ABFCE4F" w14:textId="5164D11F" w:rsidR="00B57A6D" w:rsidRDefault="00B57A6D" w:rsidP="00DE4BA4">
      <w:pPr>
        <w:pageBreakBefore/>
        <w:spacing w:after="60"/>
      </w:pPr>
    </w:p>
    <w:p w14:paraId="6B5A8736" w14:textId="77777777" w:rsidR="00B57A6D" w:rsidRDefault="00000000">
      <w:pPr>
        <w:pStyle w:val="Heading1"/>
      </w:pPr>
      <w:bookmarkStart w:id="1" w:name="_Toc232697836"/>
      <w:proofErr w:type="spellStart"/>
      <w:r>
        <w:t>Rezumat</w:t>
      </w:r>
      <w:proofErr w:type="spellEnd"/>
      <w:r>
        <w:t xml:space="preserve"> </w:t>
      </w:r>
      <w:proofErr w:type="spellStart"/>
      <w:r>
        <w:t>executiv</w:t>
      </w:r>
      <w:bookmarkEnd w:id="1"/>
      <w:proofErr w:type="spellEnd"/>
    </w:p>
    <w:p w14:paraId="0B020CA5" w14:textId="77777777" w:rsidR="00B57A6D" w:rsidRDefault="00000000">
      <w:pPr>
        <w:spacing w:after="160" w:line="360" w:lineRule="auto"/>
        <w:jc w:val="both"/>
      </w:pP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2026 </w:t>
      </w:r>
      <w:proofErr w:type="gramStart"/>
      <w:r>
        <w:t>a</w:t>
      </w:r>
      <w:proofErr w:type="gramEnd"/>
      <w:r>
        <w:t xml:space="preserve"> </w:t>
      </w:r>
      <w:proofErr w:type="spellStart"/>
      <w:r>
        <w:t>adus</w:t>
      </w:r>
      <w:proofErr w:type="spellEnd"/>
      <w:r>
        <w:t xml:space="preserve">,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a </w:t>
      </w:r>
      <w:proofErr w:type="spellStart"/>
      <w:r>
        <w:t>coborât</w:t>
      </w:r>
      <w:proofErr w:type="spellEnd"/>
      <w:r>
        <w:t xml:space="preserve"> de la 3,35%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la 3,24%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total al </w:t>
      </w:r>
      <w:proofErr w:type="spellStart"/>
      <w:r>
        <w:t>șomerilor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</w:t>
      </w:r>
      <w:proofErr w:type="gramStart"/>
      <w:r>
        <w:t>sub 260.000</w:t>
      </w:r>
      <w:proofErr w:type="gram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mișcare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, s-a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inegal</w:t>
      </w:r>
      <w:proofErr w:type="spellEnd"/>
      <w:r>
        <w:t xml:space="preserve">, </w:t>
      </w:r>
      <w:proofErr w:type="spellStart"/>
      <w:r>
        <w:t>scoțând</w:t>
      </w:r>
      <w:proofErr w:type="spellEnd"/>
      <w:r>
        <w:t xml:space="preserve"> la </w:t>
      </w:r>
      <w:proofErr w:type="spellStart"/>
      <w:r>
        <w:t>iveală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regiunea</w:t>
      </w:r>
      <w:proofErr w:type="spellEnd"/>
      <w:r>
        <w:t xml:space="preserve"> nu </w:t>
      </w:r>
      <w:proofErr w:type="spellStart"/>
      <w:r>
        <w:t>funcționează</w:t>
      </w:r>
      <w:proofErr w:type="spellEnd"/>
      <w:r>
        <w:t xml:space="preserve"> ca o </w:t>
      </w:r>
      <w:proofErr w:type="spellStart"/>
      <w:r>
        <w:t>piață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unitară</w:t>
      </w:r>
      <w:proofErr w:type="spellEnd"/>
      <w:r>
        <w:t xml:space="preserve">, ci ca un </w:t>
      </w:r>
      <w:proofErr w:type="spellStart"/>
      <w:r>
        <w:t>mozaic</w:t>
      </w:r>
      <w:proofErr w:type="spellEnd"/>
      <w:r>
        <w:t xml:space="preserve"> de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>.</w:t>
      </w:r>
    </w:p>
    <w:p w14:paraId="68ABCA50" w14:textId="77777777" w:rsidR="00B57A6D" w:rsidRDefault="00000000">
      <w:pPr>
        <w:spacing w:after="160" w:line="360" w:lineRule="auto"/>
        <w:jc w:val="both"/>
      </w:pPr>
      <w:proofErr w:type="spellStart"/>
      <w:r>
        <w:t>Vâlcea</w:t>
      </w:r>
      <w:proofErr w:type="spellEnd"/>
      <w:r>
        <w:t xml:space="preserve"> a </w:t>
      </w:r>
      <w:proofErr w:type="spellStart"/>
      <w:r>
        <w:t>parcurs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favorabilă</w:t>
      </w:r>
      <w:proofErr w:type="spellEnd"/>
      <w:r>
        <w:t xml:space="preserve"> </w:t>
      </w:r>
      <w:proofErr w:type="spellStart"/>
      <w:r>
        <w:t>traiectorie</w:t>
      </w:r>
      <w:proofErr w:type="spellEnd"/>
      <w:r>
        <w:t xml:space="preserve">, </w:t>
      </w:r>
      <w:proofErr w:type="spellStart"/>
      <w:r>
        <w:t>coborând</w:t>
      </w:r>
      <w:proofErr w:type="spellEnd"/>
      <w:r>
        <w:t xml:space="preserve"> de la 3,24%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la 2,82%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intrând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, </w:t>
      </w:r>
      <w:proofErr w:type="spellStart"/>
      <w:r>
        <w:t>datorită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economii</w:t>
      </w:r>
      <w:proofErr w:type="spellEnd"/>
      <w:r>
        <w:t xml:space="preserve"> locale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diversificate</w:t>
      </w:r>
      <w:proofErr w:type="spellEnd"/>
      <w:r>
        <w:t>. Olt s-</w:t>
      </w:r>
      <w:proofErr w:type="gramStart"/>
      <w:r>
        <w:t>a</w:t>
      </w:r>
      <w:proofErr w:type="gramEnd"/>
      <w:r>
        <w:t xml:space="preserve"> </w:t>
      </w:r>
      <w:proofErr w:type="spellStart"/>
      <w:r>
        <w:t>ameliorat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, de la 6,22% la 6,01%. </w:t>
      </w:r>
      <w:proofErr w:type="spellStart"/>
      <w:r>
        <w:t>Mehedinți</w:t>
      </w:r>
      <w:proofErr w:type="spellEnd"/>
      <w:r>
        <w:t xml:space="preserve"> a </w:t>
      </w:r>
      <w:proofErr w:type="spellStart"/>
      <w:r>
        <w:t>rămas</w:t>
      </w:r>
      <w:proofErr w:type="spellEnd"/>
      <w:r>
        <w:t xml:space="preserve">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apăsate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țării</w:t>
      </w:r>
      <w:proofErr w:type="spellEnd"/>
      <w:r>
        <w:t xml:space="preserve">, cu 8,78%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8,61%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. Dolj s-a </w:t>
      </w:r>
      <w:proofErr w:type="spellStart"/>
      <w:r>
        <w:t>menținut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de 8,5%, cu cel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de </w:t>
      </w:r>
      <w:proofErr w:type="spellStart"/>
      <w:r>
        <w:t>șomeri</w:t>
      </w:r>
      <w:proofErr w:type="spellEnd"/>
      <w:r>
        <w:t xml:space="preserve"> din </w:t>
      </w:r>
      <w:proofErr w:type="spellStart"/>
      <w:r>
        <w:t>regiune</w:t>
      </w:r>
      <w:proofErr w:type="spellEnd"/>
      <w:r>
        <w:t xml:space="preserve">. Gorj a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: rata a </w:t>
      </w:r>
      <w:proofErr w:type="spellStart"/>
      <w:r>
        <w:t>crescut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5%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sub </w:t>
      </w:r>
      <w:proofErr w:type="spellStart"/>
      <w:r>
        <w:t>efectul</w:t>
      </w:r>
      <w:proofErr w:type="spellEnd"/>
      <w:r>
        <w:t xml:space="preserve"> direct al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energetic.</w:t>
      </w:r>
    </w:p>
    <w:p w14:paraId="217D5DFE" w14:textId="77777777" w:rsidR="00B57A6D" w:rsidRDefault="00000000">
      <w:pPr>
        <w:spacing w:after="160" w:line="360" w:lineRule="auto"/>
        <w:jc w:val="both"/>
      </w:pPr>
      <w:r>
        <w:t xml:space="preserve">Cea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</w:t>
      </w:r>
      <w:proofErr w:type="spellStart"/>
      <w:r>
        <w:t>observație</w:t>
      </w:r>
      <w:proofErr w:type="spellEnd"/>
      <w:r>
        <w:t xml:space="preserve"> a </w:t>
      </w:r>
      <w:proofErr w:type="spellStart"/>
      <w:r>
        <w:t>trimestrului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La </w:t>
      </w:r>
      <w:proofErr w:type="spellStart"/>
      <w:r>
        <w:t>jumătatea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Dolj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190 de </w:t>
      </w:r>
      <w:proofErr w:type="spellStart"/>
      <w:r>
        <w:t>posturi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168,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, </w:t>
      </w:r>
      <w:proofErr w:type="spellStart"/>
      <w:r>
        <w:t>raportate</w:t>
      </w:r>
      <w:proofErr w:type="spellEnd"/>
      <w:r>
        <w:t xml:space="preserve"> la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zeci</w:t>
      </w:r>
      <w:proofErr w:type="spellEnd"/>
      <w:r>
        <w:t xml:space="preserve"> de mii de </w:t>
      </w:r>
      <w:proofErr w:type="spellStart"/>
      <w:r>
        <w:t>șomeri</w:t>
      </w:r>
      <w:proofErr w:type="spellEnd"/>
      <w:r>
        <w:t xml:space="preserve"> ai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ilustrează</w:t>
      </w:r>
      <w:proofErr w:type="spellEnd"/>
      <w:r>
        <w:t xml:space="preserve"> </w:t>
      </w:r>
      <w:proofErr w:type="spellStart"/>
      <w:r>
        <w:t xml:space="preserve">paradoxul </w:t>
      </w:r>
      <w:proofErr w:type="spellEnd"/>
      <w:r>
        <w:t xml:space="preserve">central: </w:t>
      </w:r>
      <w:proofErr w:type="spellStart"/>
      <w:r>
        <w:t>problema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pură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ci </w:t>
      </w:r>
      <w:proofErr w:type="spellStart"/>
      <w:r>
        <w:t>nepotrivirea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</w:t>
      </w:r>
      <w:proofErr w:type="spellStart"/>
      <w:r>
        <w:t>cerute</w:t>
      </w:r>
      <w:proofErr w:type="spellEnd"/>
      <w:r>
        <w:t xml:space="preserve"> de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dublată</w:t>
      </w:r>
      <w:proofErr w:type="spellEnd"/>
      <w:r>
        <w:t xml:space="preserve"> de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orașele</w:t>
      </w:r>
      <w:proofErr w:type="spellEnd"/>
      <w:r>
        <w:t xml:space="preserve"> care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satele</w:t>
      </w:r>
      <w:proofErr w:type="spellEnd"/>
      <w:r>
        <w:t xml:space="preserve"> care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detaliază</w:t>
      </w:r>
      <w:proofErr w:type="spellEnd"/>
      <w:r>
        <w:t xml:space="preserve">, pe </w:t>
      </w:r>
      <w:proofErr w:type="spellStart"/>
      <w:r>
        <w:t>județe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categorii</w:t>
      </w:r>
      <w:proofErr w:type="spellEnd"/>
      <w:r>
        <w:t xml:space="preserve">,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care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diferențe</w:t>
      </w:r>
      <w:proofErr w:type="spellEnd"/>
      <w:r>
        <w:t>.</w:t>
      </w:r>
    </w:p>
    <w:p w14:paraId="618BA792" w14:textId="77777777" w:rsidR="00B57A6D" w:rsidRDefault="00000000">
      <w:pPr>
        <w:pStyle w:val="Heading1"/>
        <w:pageBreakBefore/>
      </w:pPr>
      <w:bookmarkStart w:id="2" w:name="_Toc232697837"/>
      <w:r>
        <w:lastRenderedPageBreak/>
        <w:t xml:space="preserve">1. </w:t>
      </w:r>
      <w:proofErr w:type="spellStart"/>
      <w:r>
        <w:t>Notă</w:t>
      </w:r>
      <w:proofErr w:type="spellEnd"/>
      <w:r>
        <w:t xml:space="preserve"> </w:t>
      </w:r>
      <w:proofErr w:type="spellStart"/>
      <w:r>
        <w:t>introductivă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metodologică</w:t>
      </w:r>
      <w:bookmarkEnd w:id="2"/>
      <w:proofErr w:type="spellEnd"/>
    </w:p>
    <w:p w14:paraId="45A88520" w14:textId="77777777" w:rsidR="00B57A6D" w:rsidRDefault="00000000">
      <w:pPr>
        <w:spacing w:after="160" w:line="360" w:lineRule="auto"/>
        <w:jc w:val="both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regiunea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2026,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– </w:t>
      </w:r>
      <w:proofErr w:type="spellStart"/>
      <w:r>
        <w:t>iunie</w:t>
      </w:r>
      <w:proofErr w:type="spellEnd"/>
      <w:r>
        <w:t xml:space="preserve">. El </w:t>
      </w:r>
      <w:proofErr w:type="spellStart"/>
      <w:r>
        <w:t>continuă</w:t>
      </w:r>
      <w:proofErr w:type="spellEnd"/>
      <w:r>
        <w:t xml:space="preserve"> seria </w:t>
      </w:r>
      <w:proofErr w:type="spellStart"/>
      <w:r>
        <w:t>deschisă</w:t>
      </w:r>
      <w:proofErr w:type="spellEnd"/>
      <w:r>
        <w:t xml:space="preserve"> de </w:t>
      </w:r>
      <w:proofErr w:type="spellStart"/>
      <w:r>
        <w:t>raportul</w:t>
      </w:r>
      <w:proofErr w:type="spellEnd"/>
      <w:r>
        <w:t xml:space="preserve"> anterior, care </w:t>
      </w:r>
      <w:proofErr w:type="spellStart"/>
      <w:r>
        <w:t>acoperise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trimestru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se </w:t>
      </w:r>
      <w:proofErr w:type="spellStart"/>
      <w:r>
        <w:t>sprijină</w:t>
      </w:r>
      <w:proofErr w:type="spellEnd"/>
      <w:r>
        <w:t xml:space="preserve"> pe un set de date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diferit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cifrelor</w:t>
      </w:r>
      <w:proofErr w:type="spellEnd"/>
      <w:r>
        <w:t xml:space="preserve"> de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,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documentul</w:t>
      </w:r>
      <w:proofErr w:type="spellEnd"/>
      <w:r>
        <w:t xml:space="preserve"> precedent, </w:t>
      </w:r>
      <w:proofErr w:type="spellStart"/>
      <w:r>
        <w:t>aici</w:t>
      </w:r>
      <w:proofErr w:type="spellEnd"/>
      <w:r>
        <w:t xml:space="preserve"> sunt </w:t>
      </w:r>
      <w:proofErr w:type="spellStart"/>
      <w:r>
        <w:t>valorificate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de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lunilor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2026,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din luna </w:t>
      </w:r>
      <w:proofErr w:type="spellStart"/>
      <w:r>
        <w:t>iunie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alegere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.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trimestrial</w:t>
      </w:r>
      <w:proofErr w:type="spellEnd"/>
      <w:r>
        <w:t xml:space="preserve"> nu are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repetă</w:t>
      </w:r>
      <w:proofErr w:type="spellEnd"/>
      <w:r>
        <w:t xml:space="preserve">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observații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acelorași</w:t>
      </w:r>
      <w:proofErr w:type="spellEnd"/>
      <w:r>
        <w:t xml:space="preserve"> </w:t>
      </w:r>
      <w:proofErr w:type="spellStart"/>
      <w:r>
        <w:t>numere</w:t>
      </w:r>
      <w:proofErr w:type="spellEnd"/>
      <w:r>
        <w:t xml:space="preserve">; el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surprindă</w:t>
      </w:r>
      <w:proofErr w:type="spellEnd"/>
      <w:r>
        <w:t xml:space="preserve"> </w:t>
      </w:r>
      <w:proofErr w:type="spellStart"/>
      <w:r>
        <w:t>mișcarea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s-a </w:t>
      </w:r>
      <w:proofErr w:type="spellStart"/>
      <w:r>
        <w:t>schimbat</w:t>
      </w:r>
      <w:proofErr w:type="spellEnd"/>
      <w:r>
        <w:t xml:space="preserve"> de la o </w:t>
      </w:r>
      <w:proofErr w:type="spellStart"/>
      <w:r>
        <w:t>perioadă</w:t>
      </w:r>
      <w:proofErr w:type="spellEnd"/>
      <w:r>
        <w:t xml:space="preserve"> la </w:t>
      </w:r>
      <w:proofErr w:type="spellStart"/>
      <w:r>
        <w:t>alta.</w:t>
      </w:r>
      <w:proofErr w:type="spellEnd"/>
    </w:p>
    <w:p w14:paraId="6D07E47B" w14:textId="77777777" w:rsidR="00B57A6D" w:rsidRDefault="00000000">
      <w:pPr>
        <w:spacing w:after="160" w:line="360" w:lineRule="auto"/>
        <w:jc w:val="both"/>
      </w:pPr>
      <w:proofErr w:type="spellStart"/>
      <w:r>
        <w:t>Sursele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care </w:t>
      </w:r>
      <w:proofErr w:type="spellStart"/>
      <w:r>
        <w:t>alimentează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serioasă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ocupării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.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(ANOFM, </w:t>
      </w:r>
      <w:proofErr w:type="spellStart"/>
      <w:r>
        <w:t>comunicat</w:t>
      </w:r>
      <w:proofErr w:type="spellEnd"/>
      <w:r>
        <w:t xml:space="preserve"> din 28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publică</w:t>
      </w:r>
      <w:proofErr w:type="spellEnd"/>
      <w:r>
        <w:t xml:space="preserve"> lunar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comunică</w:t>
      </w:r>
      <w:proofErr w:type="spellEnd"/>
      <w:r>
        <w:t xml:space="preserve">, la </w:t>
      </w:r>
      <w:proofErr w:type="spellStart"/>
      <w:r>
        <w:t>rândul</w:t>
      </w:r>
      <w:proofErr w:type="spellEnd"/>
      <w:r>
        <w:t xml:space="preserve"> lor,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(INS, </w:t>
      </w:r>
      <w:proofErr w:type="spellStart"/>
      <w:r>
        <w:t>comunicat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BIM,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accepțiunea</w:t>
      </w:r>
      <w:proofErr w:type="spellEnd"/>
      <w:r>
        <w:t xml:space="preserve"> </w:t>
      </w:r>
      <w:proofErr w:type="spellStart"/>
      <w:r>
        <w:t>Biroului</w:t>
      </w:r>
      <w:proofErr w:type="spellEnd"/>
      <w:r>
        <w:t xml:space="preserve"> </w:t>
      </w:r>
      <w:proofErr w:type="spellStart"/>
      <w:r>
        <w:t>Internațional</w:t>
      </w:r>
      <w:proofErr w:type="spellEnd"/>
      <w:r>
        <w:t xml:space="preserve"> al Muncii,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Gospodării</w:t>
      </w:r>
      <w:proofErr w:type="spellEnd"/>
      <w:r>
        <w:t xml:space="preserve">. Cele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metodologii</w:t>
      </w:r>
      <w:proofErr w:type="spellEnd"/>
      <w:r>
        <w:t xml:space="preserve"> </w:t>
      </w:r>
      <w:proofErr w:type="spellStart"/>
      <w:r>
        <w:t>conduc</w:t>
      </w:r>
      <w:proofErr w:type="spellEnd"/>
      <w:r>
        <w:t xml:space="preserve"> la </w:t>
      </w:r>
      <w:proofErr w:type="spellStart"/>
      <w:r>
        <w:t>valori</w:t>
      </w:r>
      <w:proofErr w:type="spellEnd"/>
      <w:r>
        <w:t xml:space="preserve"> care nu se </w:t>
      </w:r>
      <w:proofErr w:type="spellStart"/>
      <w:r>
        <w:t>suprapun</w:t>
      </w:r>
      <w:proofErr w:type="spellEnd"/>
      <w:r>
        <w:t xml:space="preserve">,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prezentate</w:t>
      </w:r>
      <w:proofErr w:type="spellEnd"/>
      <w:r>
        <w:t xml:space="preserve"> distinct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permit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>.</w:t>
      </w:r>
    </w:p>
    <w:p w14:paraId="62D523F0" w14:textId="77777777" w:rsidR="00B57A6D" w:rsidRDefault="00000000">
      <w:pPr>
        <w:spacing w:after="160" w:line="360" w:lineRule="auto"/>
        <w:jc w:val="both"/>
      </w:pPr>
      <w:proofErr w:type="spellStart"/>
      <w:r>
        <w:t>Trebuie</w:t>
      </w:r>
      <w:proofErr w:type="spellEnd"/>
      <w:r>
        <w:t xml:space="preserve"> </w:t>
      </w:r>
      <w:proofErr w:type="spellStart"/>
      <w:r>
        <w:t>făcută</w:t>
      </w:r>
      <w:proofErr w:type="spellEnd"/>
      <w:r>
        <w:t xml:space="preserve"> o </w:t>
      </w:r>
      <w:proofErr w:type="spellStart"/>
      <w:r>
        <w:t>precizare</w:t>
      </w:r>
      <w:proofErr w:type="spellEnd"/>
      <w:r>
        <w:t xml:space="preserve"> de la bun </w:t>
      </w:r>
      <w:proofErr w:type="spellStart"/>
      <w:r>
        <w:t>început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spiritul</w:t>
      </w:r>
      <w:proofErr w:type="spellEnd"/>
      <w:r>
        <w:t xml:space="preserve"> </w:t>
      </w:r>
      <w:proofErr w:type="spellStart"/>
      <w:r>
        <w:t>transparenței</w:t>
      </w:r>
      <w:proofErr w:type="spellEnd"/>
      <w:r>
        <w:t xml:space="preserve">.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redactării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complete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iunie</w:t>
      </w:r>
      <w:proofErr w:type="spellEnd"/>
      <w:r>
        <w:t xml:space="preserve"> 2026 nu </w:t>
      </w:r>
      <w:proofErr w:type="spellStart"/>
      <w:r>
        <w:t>fuseseră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de </w:t>
      </w:r>
      <w:proofErr w:type="spellStart"/>
      <w:r>
        <w:t>niciuna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apar de </w:t>
      </w:r>
      <w:proofErr w:type="spellStart"/>
      <w:r>
        <w:t>regulă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sunt consolidate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 xml:space="preserve">,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comunicaseră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cifrele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centralizată</w:t>
      </w:r>
      <w:proofErr w:type="spellEnd"/>
      <w:r>
        <w:t xml:space="preserve"> era </w:t>
      </w:r>
      <w:proofErr w:type="spellStart"/>
      <w:r>
        <w:t>în</w:t>
      </w:r>
      <w:proofErr w:type="spellEnd"/>
      <w:r>
        <w:t xml:space="preserve"> curs de </w:t>
      </w:r>
      <w:proofErr w:type="spellStart"/>
      <w:r>
        <w:t>finalizare</w:t>
      </w:r>
      <w:proofErr w:type="spellEnd"/>
      <w:r>
        <w:t xml:space="preserve">.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comunicare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dintr</w:t>
      </w:r>
      <w:proofErr w:type="spellEnd"/>
      <w:r>
        <w:t xml:space="preserve">-un document statistic </w:t>
      </w:r>
      <w:proofErr w:type="spellStart"/>
      <w:r>
        <w:t>centralizat</w:t>
      </w:r>
      <w:proofErr w:type="spellEnd"/>
      <w:r>
        <w:t xml:space="preserve">,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cititorul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invitat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verifice</w:t>
      </w:r>
      <w:proofErr w:type="spellEnd"/>
      <w:r>
        <w:t xml:space="preserve"> </w:t>
      </w:r>
      <w:proofErr w:type="spellStart"/>
      <w:r>
        <w:t>cifra</w:t>
      </w:r>
      <w:proofErr w:type="spellEnd"/>
      <w:r>
        <w:t xml:space="preserve"> la </w:t>
      </w:r>
      <w:proofErr w:type="spellStart"/>
      <w:r>
        <w:t>sursă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a o </w:t>
      </w:r>
      <w:proofErr w:type="spellStart"/>
      <w:r>
        <w:t>folosi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trimiterile</w:t>
      </w:r>
      <w:proofErr w:type="spellEnd"/>
      <w:r>
        <w:t xml:space="preserve"> </w:t>
      </w:r>
      <w:proofErr w:type="spellStart"/>
      <w:r>
        <w:t>bibliografice</w:t>
      </w:r>
      <w:proofErr w:type="spellEnd"/>
      <w:r>
        <w:t xml:space="preserve"> </w:t>
      </w:r>
      <w:proofErr w:type="spellStart"/>
      <w:r>
        <w:t>conțin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web a </w:t>
      </w:r>
      <w:proofErr w:type="spellStart"/>
      <w:r>
        <w:t>sursei</w:t>
      </w:r>
      <w:proofErr w:type="spellEnd"/>
      <w:r>
        <w:t xml:space="preserve">,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>.</w:t>
      </w:r>
    </w:p>
    <w:p w14:paraId="25D0A58D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pornește</w:t>
      </w:r>
      <w:proofErr w:type="spellEnd"/>
      <w:r>
        <w:t xml:space="preserve"> de la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coboară</w:t>
      </w:r>
      <w:proofErr w:type="spellEnd"/>
      <w:r>
        <w:t xml:space="preserve"> </w:t>
      </w:r>
      <w:proofErr w:type="spellStart"/>
      <w:r>
        <w:t>apoi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, </w:t>
      </w:r>
      <w:proofErr w:type="spellStart"/>
      <w:r>
        <w:t>dedică</w:t>
      </w:r>
      <w:proofErr w:type="spellEnd"/>
      <w:r>
        <w:t xml:space="preserve"> un capitol distinct </w:t>
      </w:r>
      <w:proofErr w:type="spellStart"/>
      <w:r>
        <w:t>ofertei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reia</w:t>
      </w:r>
      <w:proofErr w:type="spellEnd"/>
      <w:r>
        <w:t xml:space="preserve"> </w:t>
      </w:r>
      <w:proofErr w:type="spellStart"/>
      <w:r>
        <w:t>firul</w:t>
      </w:r>
      <w:proofErr w:type="spellEnd"/>
      <w:r>
        <w:t xml:space="preserve"> </w:t>
      </w:r>
      <w:proofErr w:type="spellStart"/>
      <w:r>
        <w:t>comparației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trimestru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. </w:t>
      </w:r>
      <w:proofErr w:type="spellStart"/>
      <w:r>
        <w:t>Scopul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descrie</w:t>
      </w:r>
      <w:proofErr w:type="spellEnd"/>
      <w:r>
        <w:t xml:space="preserve"> o stare de </w:t>
      </w:r>
      <w:proofErr w:type="spellStart"/>
      <w:r>
        <w:lastRenderedPageBreak/>
        <w:t>fapt</w:t>
      </w:r>
      <w:proofErr w:type="spellEnd"/>
      <w:r>
        <w:t xml:space="preserve">, ci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direcție</w:t>
      </w:r>
      <w:proofErr w:type="spellEnd"/>
      <w:r>
        <w:t xml:space="preserve"> se </w:t>
      </w:r>
      <w:proofErr w:type="spellStart"/>
      <w:r>
        <w:t>mișcă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oltenească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2026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>.</w:t>
      </w:r>
    </w:p>
    <w:p w14:paraId="506BD342" w14:textId="07FD69AB" w:rsidR="00B57A6D" w:rsidRDefault="00B57A6D">
      <w:pPr>
        <w:pageBreakBefore/>
        <w:spacing w:after="220"/>
      </w:pPr>
    </w:p>
    <w:p w14:paraId="53947E4A" w14:textId="2E002C76" w:rsidR="00B57A6D" w:rsidRDefault="00000000">
      <w:pPr>
        <w:pStyle w:val="Heading1"/>
      </w:pPr>
      <w:bookmarkStart w:id="3" w:name="_Toc232697838"/>
      <w:r>
        <w:t xml:space="preserve">2.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II-lea 2026</w:t>
      </w:r>
      <w:bookmarkEnd w:id="3"/>
    </w:p>
    <w:p w14:paraId="02BDCBA2" w14:textId="77777777" w:rsidR="00B57A6D" w:rsidRDefault="00000000">
      <w:pPr>
        <w:spacing w:after="160" w:line="360" w:lineRule="auto"/>
        <w:jc w:val="both"/>
      </w:pPr>
      <w:r>
        <w:t xml:space="preserve">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3,24%,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cu 0,01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procentuale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marjă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aprilie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precedent. (ANOFM, </w:t>
      </w:r>
      <w:proofErr w:type="spellStart"/>
      <w:r>
        <w:t>comunicat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Numărul</w:t>
      </w:r>
      <w:proofErr w:type="spellEnd"/>
      <w:r>
        <w:t xml:space="preserve"> total al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ca </w:t>
      </w:r>
      <w:proofErr w:type="spellStart"/>
      <w:r>
        <w:t>șomere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agențiilor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259.160. </w:t>
      </w:r>
      <w:proofErr w:type="spellStart"/>
      <w:r>
        <w:t>Comparativ</w:t>
      </w:r>
      <w:proofErr w:type="spellEnd"/>
      <w:r>
        <w:t xml:space="preserve">,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fusese</w:t>
      </w:r>
      <w:proofErr w:type="spellEnd"/>
      <w:r>
        <w:t xml:space="preserve"> de 3,35%, cu un total de 268.111 </w:t>
      </w:r>
      <w:proofErr w:type="spellStart"/>
      <w:r>
        <w:t>persoane</w:t>
      </w:r>
      <w:proofErr w:type="spellEnd"/>
      <w:r>
        <w:t xml:space="preserve">. </w:t>
      </w:r>
      <w:proofErr w:type="spellStart"/>
      <w:r>
        <w:t>Diferența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momente</w:t>
      </w:r>
      <w:proofErr w:type="spellEnd"/>
      <w:r>
        <w:t xml:space="preserve"> ale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un </w:t>
      </w:r>
      <w:proofErr w:type="spellStart"/>
      <w:r>
        <w:t>tipar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: </w:t>
      </w:r>
      <w:proofErr w:type="spellStart"/>
      <w:r>
        <w:t>șomajul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urcă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pe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sezoniere</w:t>
      </w:r>
      <w:proofErr w:type="spellEnd"/>
      <w:r>
        <w:t xml:space="preserve"> de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anterior, </w:t>
      </w:r>
      <w:proofErr w:type="spellStart"/>
      <w:r>
        <w:t>apoi</w:t>
      </w:r>
      <w:proofErr w:type="spellEnd"/>
      <w:r>
        <w:t xml:space="preserve"> se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treptat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calde</w:t>
      </w:r>
      <w:proofErr w:type="spellEnd"/>
      <w:r>
        <w:t>.</w:t>
      </w:r>
    </w:p>
    <w:p w14:paraId="4639A4CC" w14:textId="77777777" w:rsidR="00B57A6D" w:rsidRDefault="00000000">
      <w:pPr>
        <w:spacing w:after="160" w:line="360" w:lineRule="auto"/>
        <w:jc w:val="both"/>
      </w:pPr>
      <w:r>
        <w:t xml:space="preserve">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57.823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 de </w:t>
      </w:r>
      <w:proofErr w:type="spellStart"/>
      <w:r>
        <w:t>șomaj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201.337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.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precedentă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indemnizați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cu 1.596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 a </w:t>
      </w:r>
      <w:proofErr w:type="spellStart"/>
      <w:r>
        <w:t>crescut</w:t>
      </w:r>
      <w:proofErr w:type="spellEnd"/>
      <w:r>
        <w:t xml:space="preserve"> cu 787.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mișcare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</w:t>
      </w:r>
      <w:proofErr w:type="spellStart"/>
      <w:r>
        <w:t>contrar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</w:t>
      </w:r>
      <w:proofErr w:type="spellStart"/>
      <w:r>
        <w:t>merită</w:t>
      </w:r>
      <w:proofErr w:type="spellEnd"/>
      <w:r>
        <w:t xml:space="preserve"> </w:t>
      </w:r>
      <w:proofErr w:type="spellStart"/>
      <w:r>
        <w:t>reținută</w:t>
      </w:r>
      <w:proofErr w:type="spellEnd"/>
      <w:r>
        <w:t xml:space="preserve">. </w:t>
      </w:r>
      <w:proofErr w:type="spellStart"/>
      <w:r>
        <w:t>Ea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epuizează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găsesc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, ci </w:t>
      </w:r>
      <w:proofErr w:type="spellStart"/>
      <w:r>
        <w:t>trec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neindemnizaților</w:t>
      </w:r>
      <w:proofErr w:type="spellEnd"/>
      <w:r>
        <w:t xml:space="preserve">, </w:t>
      </w:r>
      <w:proofErr w:type="spellStart"/>
      <w:r>
        <w:t>rămânând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total, de </w:t>
      </w:r>
      <w:proofErr w:type="spellStart"/>
      <w:r>
        <w:t>aproximativ</w:t>
      </w:r>
      <w:proofErr w:type="spellEnd"/>
      <w:r>
        <w:t xml:space="preserve"> 77,7%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devine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un indicator al </w:t>
      </w:r>
      <w:proofErr w:type="spellStart"/>
      <w:r>
        <w:t>cronicizării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al </w:t>
      </w:r>
      <w:proofErr w:type="spellStart"/>
      <w:r>
        <w:t>volumului</w:t>
      </w:r>
      <w:proofErr w:type="spellEnd"/>
      <w:r>
        <w:t>.</w:t>
      </w:r>
    </w:p>
    <w:p w14:paraId="2C7400A0" w14:textId="77777777" w:rsidR="00B57A6D" w:rsidRDefault="00000000">
      <w:pPr>
        <w:spacing w:after="160" w:line="360" w:lineRule="auto"/>
        <w:jc w:val="both"/>
      </w:pPr>
      <w:proofErr w:type="spellStart"/>
      <w:r>
        <w:t>Distribuția</w:t>
      </w:r>
      <w:proofErr w:type="spellEnd"/>
      <w:r>
        <w:t xml:space="preserve"> pe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rezidență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dezechilibrată</w:t>
      </w:r>
      <w:proofErr w:type="spellEnd"/>
      <w:r>
        <w:t xml:space="preserve">.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68.888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proveneau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urban, </w:t>
      </w:r>
      <w:proofErr w:type="spellStart"/>
      <w:r>
        <w:t>iar</w:t>
      </w:r>
      <w:proofErr w:type="spellEnd"/>
      <w:r>
        <w:t xml:space="preserve"> 190.272 din </w:t>
      </w:r>
      <w:proofErr w:type="spellStart"/>
      <w:r>
        <w:t>mediul</w:t>
      </w:r>
      <w:proofErr w:type="spellEnd"/>
      <w:r>
        <w:t xml:space="preserve"> rural.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sferturi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din </w:t>
      </w:r>
      <w:proofErr w:type="spellStart"/>
      <w:r>
        <w:t>evidențe</w:t>
      </w:r>
      <w:proofErr w:type="spellEnd"/>
      <w:r>
        <w:t xml:space="preserve"> </w:t>
      </w:r>
      <w:proofErr w:type="spellStart"/>
      <w:r>
        <w:t>trăiau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orașelor</w:t>
      </w:r>
      <w:proofErr w:type="spellEnd"/>
      <w:r>
        <w:t xml:space="preserve">. Pe </w:t>
      </w:r>
      <w:proofErr w:type="spellStart"/>
      <w:r>
        <w:t>sexe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bărbaților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, 133.901, </w:t>
      </w:r>
      <w:proofErr w:type="spellStart"/>
      <w:r>
        <w:t>îl</w:t>
      </w:r>
      <w:proofErr w:type="spellEnd"/>
      <w:r>
        <w:t xml:space="preserve"> </w:t>
      </w:r>
      <w:proofErr w:type="spellStart"/>
      <w:r>
        <w:t>depășea</w:t>
      </w:r>
      <w:proofErr w:type="spellEnd"/>
      <w:r>
        <w:t xml:space="preserve"> pe cel al </w:t>
      </w:r>
      <w:proofErr w:type="spellStart"/>
      <w:r>
        <w:t>femeilor</w:t>
      </w:r>
      <w:proofErr w:type="spellEnd"/>
      <w:r>
        <w:t xml:space="preserve">, 125.259, </w:t>
      </w:r>
      <w:proofErr w:type="spellStart"/>
      <w:r>
        <w:t>menținând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apropiat</w:t>
      </w:r>
      <w:proofErr w:type="spellEnd"/>
      <w:r>
        <w:t xml:space="preserve"> de cel </w:t>
      </w:r>
      <w:proofErr w:type="spellStart"/>
      <w:r>
        <w:t>observat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>.</w:t>
      </w:r>
    </w:p>
    <w:p w14:paraId="7948D4C9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pe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a </w:t>
      </w:r>
      <w:proofErr w:type="spellStart"/>
      <w:r>
        <w:t>confirmat</w:t>
      </w:r>
      <w:proofErr w:type="spellEnd"/>
      <w:r>
        <w:t xml:space="preserve">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segmentele</w:t>
      </w:r>
      <w:proofErr w:type="spellEnd"/>
      <w:r>
        <w:t xml:space="preserve"> mature. Cei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55 de ani, 65.794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urmați</w:t>
      </w:r>
      <w:proofErr w:type="spellEnd"/>
      <w:r>
        <w:t xml:space="preserve"> </w:t>
      </w:r>
      <w:proofErr w:type="spellStart"/>
      <w:r>
        <w:t>îndeaproape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40–49 de ani, cu 62.782. La </w:t>
      </w:r>
      <w:proofErr w:type="spellStart"/>
      <w:r>
        <w:t>polul</w:t>
      </w:r>
      <w:proofErr w:type="spellEnd"/>
      <w:r>
        <w:t xml:space="preserve"> opus se </w:t>
      </w:r>
      <w:proofErr w:type="spellStart"/>
      <w:r>
        <w:t>aflau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25 </w:t>
      </w:r>
      <w:proofErr w:type="spellStart"/>
      <w:r>
        <w:t>și</w:t>
      </w:r>
      <w:proofErr w:type="spellEnd"/>
      <w:r>
        <w:t xml:space="preserve"> 29 de ani, cu </w:t>
      </w:r>
      <w:proofErr w:type="spellStart"/>
      <w:r>
        <w:t>doar</w:t>
      </w:r>
      <w:proofErr w:type="spellEnd"/>
      <w:r>
        <w:t xml:space="preserve"> 15.238. </w:t>
      </w:r>
      <w:proofErr w:type="spellStart"/>
      <w:r>
        <w:t>Tinerii</w:t>
      </w:r>
      <w:proofErr w:type="spellEnd"/>
      <w:r>
        <w:t xml:space="preserve"> sub 25 de ani </w:t>
      </w:r>
      <w:proofErr w:type="spellStart"/>
      <w:r>
        <w:t>însumau</w:t>
      </w:r>
      <w:proofErr w:type="spellEnd"/>
      <w:r>
        <w:t xml:space="preserve"> 21.953, </w:t>
      </w:r>
      <w:proofErr w:type="spellStart"/>
      <w:r>
        <w:t>grupa</w:t>
      </w:r>
      <w:proofErr w:type="spellEnd"/>
      <w:r>
        <w:t xml:space="preserve"> 30–39 de ani 44.976,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grupa</w:t>
      </w:r>
      <w:proofErr w:type="spellEnd"/>
      <w:r>
        <w:t xml:space="preserve"> 50–55 de ani 48.417. </w:t>
      </w:r>
      <w:proofErr w:type="spellStart"/>
      <w:r>
        <w:t>Tabloul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sintetizează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repartiție</w:t>
      </w:r>
      <w:proofErr w:type="spellEnd"/>
      <w:r>
        <w:t>.</w:t>
      </w:r>
    </w:p>
    <w:p w14:paraId="7A181AFA" w14:textId="77777777" w:rsidR="00B57A6D" w:rsidRDefault="00000000">
      <w:pPr>
        <w:spacing w:after="80"/>
      </w:pPr>
      <w:proofErr w:type="spellStart"/>
      <w:r>
        <w:rPr>
          <w:i/>
          <w:iCs/>
          <w:sz w:val="22"/>
          <w:szCs w:val="22"/>
        </w:rPr>
        <w:t>Tabelul</w:t>
      </w:r>
      <w:proofErr w:type="spellEnd"/>
      <w:r>
        <w:rPr>
          <w:i/>
          <w:iCs/>
          <w:sz w:val="22"/>
          <w:szCs w:val="22"/>
        </w:rPr>
        <w:t xml:space="preserve"> 1. </w:t>
      </w:r>
      <w:proofErr w:type="spellStart"/>
      <w:r>
        <w:rPr>
          <w:i/>
          <w:iCs/>
          <w:sz w:val="22"/>
          <w:szCs w:val="22"/>
        </w:rPr>
        <w:t>Șomeri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înregistrați</w:t>
      </w:r>
      <w:proofErr w:type="spellEnd"/>
      <w:r>
        <w:rPr>
          <w:i/>
          <w:iCs/>
          <w:sz w:val="22"/>
          <w:szCs w:val="22"/>
        </w:rPr>
        <w:t xml:space="preserve"> la </w:t>
      </w:r>
      <w:proofErr w:type="spellStart"/>
      <w:r>
        <w:rPr>
          <w:i/>
          <w:iCs/>
          <w:sz w:val="22"/>
          <w:szCs w:val="22"/>
        </w:rPr>
        <w:t>nivel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național</w:t>
      </w:r>
      <w:proofErr w:type="spellEnd"/>
      <w:r>
        <w:rPr>
          <w:i/>
          <w:iCs/>
          <w:sz w:val="22"/>
          <w:szCs w:val="22"/>
        </w:rPr>
        <w:t xml:space="preserve"> pe </w:t>
      </w:r>
      <w:proofErr w:type="spellStart"/>
      <w:r>
        <w:rPr>
          <w:i/>
          <w:iCs/>
          <w:sz w:val="22"/>
          <w:szCs w:val="22"/>
        </w:rPr>
        <w:t>grupe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vârstă</w:t>
      </w:r>
      <w:proofErr w:type="spellEnd"/>
      <w:r>
        <w:rPr>
          <w:i/>
          <w:iCs/>
          <w:sz w:val="22"/>
          <w:szCs w:val="22"/>
        </w:rPr>
        <w:t xml:space="preserve">, 30 </w:t>
      </w:r>
      <w:proofErr w:type="spellStart"/>
      <w:r>
        <w:rPr>
          <w:i/>
          <w:iCs/>
          <w:sz w:val="22"/>
          <w:szCs w:val="22"/>
        </w:rPr>
        <w:t>aprilie</w:t>
      </w:r>
      <w:proofErr w:type="spellEnd"/>
      <w:r>
        <w:rPr>
          <w:i/>
          <w:iCs/>
          <w:sz w:val="22"/>
          <w:szCs w:val="22"/>
        </w:rPr>
        <w:t xml:space="preserve">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000"/>
        <w:gridCol w:w="3000"/>
      </w:tblGrid>
      <w:tr w:rsidR="00B57A6D" w14:paraId="784B2EB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CFE1AF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 xml:space="preserve">Grupa de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vârstă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11A99B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Număr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persoane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BA4472C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Pondere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în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total</w:t>
            </w:r>
          </w:p>
        </w:tc>
      </w:tr>
      <w:tr w:rsidR="00B57A6D" w14:paraId="08FE927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74CD4A2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Sub 25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865219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21.953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085DA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8,5%</w:t>
            </w:r>
          </w:p>
        </w:tc>
      </w:tr>
      <w:tr w:rsidR="00B57A6D" w14:paraId="27368E0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457FD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25 – 29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A459C0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15.238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7F218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5,9%</w:t>
            </w:r>
          </w:p>
        </w:tc>
      </w:tr>
      <w:tr w:rsidR="00B57A6D" w14:paraId="28FCD8A2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F3E67A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30 – 39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1DDD62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44.976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66D4501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17,4%</w:t>
            </w:r>
          </w:p>
        </w:tc>
      </w:tr>
      <w:tr w:rsidR="00B57A6D" w14:paraId="7D001AA1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0F8B35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40 – 49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A5C273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62.782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C5AA88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24,2%</w:t>
            </w:r>
          </w:p>
        </w:tc>
      </w:tr>
      <w:tr w:rsidR="00B57A6D" w14:paraId="2F719423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0A9FA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50 – 55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9BAB9A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48.417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12F5E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18,7%</w:t>
            </w:r>
          </w:p>
        </w:tc>
      </w:tr>
      <w:tr w:rsidR="00B57A6D" w14:paraId="312AB0A0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34CD30A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Peste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55 de ani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48F5A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65.794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060640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25,4%</w:t>
            </w:r>
          </w:p>
        </w:tc>
      </w:tr>
      <w:tr w:rsidR="00B57A6D" w14:paraId="12D39E07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DC6A8D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481B3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259.160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E49086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100%</w:t>
            </w:r>
          </w:p>
        </w:tc>
      </w:tr>
    </w:tbl>
    <w:p w14:paraId="5B6220C6" w14:textId="77777777" w:rsidR="00B57A6D" w:rsidRDefault="00000000">
      <w:pPr>
        <w:spacing w:before="40" w:after="200"/>
        <w:jc w:val="right"/>
      </w:pPr>
      <w:r>
        <w:rPr>
          <w:i/>
          <w:iCs/>
          <w:color w:val="595959"/>
          <w:sz w:val="20"/>
          <w:szCs w:val="20"/>
        </w:rPr>
        <w:t xml:space="preserve">Sursa: ANOFM, </w:t>
      </w:r>
      <w:proofErr w:type="spellStart"/>
      <w:r>
        <w:rPr>
          <w:i/>
          <w:iCs/>
          <w:color w:val="595959"/>
          <w:sz w:val="20"/>
          <w:szCs w:val="20"/>
        </w:rPr>
        <w:t>comunicat</w:t>
      </w:r>
      <w:proofErr w:type="spellEnd"/>
      <w:r>
        <w:rPr>
          <w:i/>
          <w:iCs/>
          <w:color w:val="595959"/>
          <w:sz w:val="20"/>
          <w:szCs w:val="20"/>
        </w:rPr>
        <w:t xml:space="preserve"> din 28 </w:t>
      </w:r>
      <w:proofErr w:type="spellStart"/>
      <w:r>
        <w:rPr>
          <w:i/>
          <w:iCs/>
          <w:color w:val="595959"/>
          <w:sz w:val="20"/>
          <w:szCs w:val="20"/>
        </w:rPr>
        <w:t>mai</w:t>
      </w:r>
      <w:proofErr w:type="spellEnd"/>
      <w:r>
        <w:rPr>
          <w:i/>
          <w:iCs/>
          <w:color w:val="595959"/>
          <w:sz w:val="20"/>
          <w:szCs w:val="20"/>
        </w:rPr>
        <w:t xml:space="preserve"> 2026 </w:t>
      </w:r>
      <w:proofErr w:type="spellStart"/>
      <w:r>
        <w:rPr>
          <w:i/>
          <w:iCs/>
          <w:color w:val="595959"/>
          <w:sz w:val="20"/>
          <w:szCs w:val="20"/>
        </w:rPr>
        <w:t>privind</w:t>
      </w:r>
      <w:proofErr w:type="spellEnd"/>
      <w:r>
        <w:rPr>
          <w:i/>
          <w:iCs/>
          <w:color w:val="595959"/>
          <w:sz w:val="20"/>
          <w:szCs w:val="20"/>
        </w:rPr>
        <w:t xml:space="preserve"> rata </w:t>
      </w:r>
      <w:proofErr w:type="spellStart"/>
      <w:r>
        <w:rPr>
          <w:i/>
          <w:iCs/>
          <w:color w:val="595959"/>
          <w:sz w:val="20"/>
          <w:szCs w:val="20"/>
        </w:rPr>
        <w:t>șomajului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în</w:t>
      </w:r>
      <w:proofErr w:type="spellEnd"/>
      <w:r>
        <w:rPr>
          <w:i/>
          <w:iCs/>
          <w:color w:val="595959"/>
          <w:sz w:val="20"/>
          <w:szCs w:val="20"/>
        </w:rPr>
        <w:t xml:space="preserve"> luna </w:t>
      </w:r>
      <w:proofErr w:type="spellStart"/>
      <w:r>
        <w:rPr>
          <w:i/>
          <w:iCs/>
          <w:color w:val="595959"/>
          <w:sz w:val="20"/>
          <w:szCs w:val="20"/>
        </w:rPr>
        <w:t>aprilie</w:t>
      </w:r>
      <w:proofErr w:type="spellEnd"/>
      <w:r>
        <w:rPr>
          <w:i/>
          <w:iCs/>
          <w:color w:val="595959"/>
          <w:sz w:val="20"/>
          <w:szCs w:val="20"/>
        </w:rPr>
        <w:t xml:space="preserve"> 2026.</w:t>
      </w:r>
    </w:p>
    <w:p w14:paraId="5E90288A" w14:textId="77777777" w:rsidR="00B57A6D" w:rsidRDefault="00000000">
      <w:pPr>
        <w:spacing w:after="160" w:line="360" w:lineRule="auto"/>
        <w:jc w:val="both"/>
      </w:pPr>
      <w:proofErr w:type="spellStart"/>
      <w:r>
        <w:t>Ponderile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calculate de </w:t>
      </w:r>
      <w:proofErr w:type="spellStart"/>
      <w:r>
        <w:t>autor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cifrelor</w:t>
      </w:r>
      <w:proofErr w:type="spellEnd"/>
      <w:r>
        <w:t xml:space="preserve"> absolute </w:t>
      </w:r>
      <w:proofErr w:type="spellStart"/>
      <w:r>
        <w:t>comunicate</w:t>
      </w:r>
      <w:proofErr w:type="spellEnd"/>
      <w:r>
        <w:t xml:space="preserve"> de ANOFM </w:t>
      </w:r>
      <w:proofErr w:type="spellStart"/>
      <w:r>
        <w:t>și</w:t>
      </w:r>
      <w:proofErr w:type="spellEnd"/>
      <w:r>
        <w:t xml:space="preserve"> sunt </w:t>
      </w:r>
      <w:proofErr w:type="spellStart"/>
      <w:r>
        <w:t>rotunjite</w:t>
      </w:r>
      <w:proofErr w:type="spellEnd"/>
      <w:r>
        <w:t>.</w:t>
      </w:r>
    </w:p>
    <w:p w14:paraId="5B702374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a </w:t>
      </w:r>
      <w:proofErr w:type="spellStart"/>
      <w:r>
        <w:t>rămas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</w:t>
      </w:r>
      <w:proofErr w:type="spellStart"/>
      <w:r>
        <w:t>neschimbată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confirmat</w:t>
      </w:r>
      <w:proofErr w:type="spellEnd"/>
      <w:r>
        <w:t xml:space="preserve"> </w:t>
      </w:r>
      <w:proofErr w:type="spellStart"/>
      <w:r>
        <w:t>vulnerabilitatea</w:t>
      </w:r>
      <w:proofErr w:type="spellEnd"/>
      <w:r>
        <w:t xml:space="preserve"> de fond a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neocupate</w:t>
      </w:r>
      <w:proofErr w:type="spellEnd"/>
      <w:r>
        <w:t xml:space="preserve">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reprezentau</w:t>
      </w:r>
      <w:proofErr w:type="spellEnd"/>
      <w:r>
        <w:t xml:space="preserve"> 29,81% din total,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34,66%,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absolvenții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superior </w:t>
      </w:r>
      <w:proofErr w:type="spellStart"/>
      <w:r>
        <w:t>doar</w:t>
      </w:r>
      <w:proofErr w:type="spellEnd"/>
      <w:r>
        <w:t xml:space="preserve"> 4,65%. (ibidem)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treimi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aveau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limitează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eficacitatea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recalificare</w:t>
      </w:r>
      <w:proofErr w:type="spellEnd"/>
      <w:r>
        <w:t xml:space="preserve"> care </w:t>
      </w:r>
      <w:proofErr w:type="spellStart"/>
      <w:r>
        <w:t>presupun</w:t>
      </w:r>
      <w:proofErr w:type="spellEnd"/>
      <w:r>
        <w:t xml:space="preserve"> o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>.</w:t>
      </w:r>
    </w:p>
    <w:p w14:paraId="780CF380" w14:textId="77777777" w:rsidR="00B57A6D" w:rsidRDefault="00000000">
      <w:pPr>
        <w:spacing w:after="160" w:line="360" w:lineRule="auto"/>
        <w:jc w:val="both"/>
      </w:pPr>
      <w:proofErr w:type="spellStart"/>
      <w:r>
        <w:t>Imaginea</w:t>
      </w:r>
      <w:proofErr w:type="spellEnd"/>
      <w:r>
        <w:t xml:space="preserve"> </w:t>
      </w:r>
      <w:proofErr w:type="spellStart"/>
      <w:r>
        <w:t>oferită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sensibil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amplă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include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fi </w:t>
      </w:r>
      <w:proofErr w:type="spellStart"/>
      <w:r>
        <w:t>înregistrate</w:t>
      </w:r>
      <w:proofErr w:type="spellEnd"/>
      <w:r>
        <w:t xml:space="preserve"> la </w:t>
      </w:r>
      <w:proofErr w:type="spellStart"/>
      <w:r>
        <w:t>agenții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ajustată</w:t>
      </w:r>
      <w:proofErr w:type="spellEnd"/>
      <w:r>
        <w:t xml:space="preserve"> </w:t>
      </w:r>
      <w:proofErr w:type="spellStart"/>
      <w:r>
        <w:t>sezonier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6,3%,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cu 0,2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procentuale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martie</w:t>
      </w:r>
      <w:proofErr w:type="spellEnd"/>
      <w:r>
        <w:t>. (</w:t>
      </w:r>
      <w:proofErr w:type="spellStart"/>
      <w:r>
        <w:t>Financiarul</w:t>
      </w:r>
      <w:proofErr w:type="spellEnd"/>
      <w:r>
        <w:t xml:space="preserve">,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cu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15 </w:t>
      </w:r>
      <w:proofErr w:type="spellStart"/>
      <w:r>
        <w:t>și</w:t>
      </w:r>
      <w:proofErr w:type="spellEnd"/>
      <w:r>
        <w:t xml:space="preserve"> 74 de ani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la 512.100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533.800 din </w:t>
      </w:r>
      <w:proofErr w:type="spellStart"/>
      <w:r>
        <w:t>martie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aprilie</w:t>
      </w:r>
      <w:proofErr w:type="spellEnd"/>
      <w:r>
        <w:t xml:space="preserve"> 2025,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fuseseră</w:t>
      </w:r>
      <w:proofErr w:type="spellEnd"/>
      <w:r>
        <w:t xml:space="preserve"> 501.900. Rata </w:t>
      </w:r>
      <w:proofErr w:type="spellStart"/>
      <w:r>
        <w:t>șomajului</w:t>
      </w:r>
      <w:proofErr w:type="spellEnd"/>
      <w:r>
        <w:t xml:space="preserve"> la </w:t>
      </w:r>
      <w:proofErr w:type="spellStart"/>
      <w:r>
        <w:t>femei</w:t>
      </w:r>
      <w:proofErr w:type="spellEnd"/>
      <w:r>
        <w:t xml:space="preserve">, 6,3%, a </w:t>
      </w:r>
      <w:proofErr w:type="spellStart"/>
      <w:r>
        <w:t>depășit</w:t>
      </w:r>
      <w:proofErr w:type="spellEnd"/>
      <w:r>
        <w:t xml:space="preserve">-o cu o </w:t>
      </w:r>
      <w:proofErr w:type="spellStart"/>
      <w:r>
        <w:t>zecime</w:t>
      </w:r>
      <w:proofErr w:type="spellEnd"/>
      <w:r>
        <w:t xml:space="preserve"> de </w:t>
      </w:r>
      <w:proofErr w:type="spellStart"/>
      <w:r>
        <w:t>punct</w:t>
      </w:r>
      <w:proofErr w:type="spellEnd"/>
      <w:r>
        <w:t xml:space="preserve"> pe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bărbaților</w:t>
      </w:r>
      <w:proofErr w:type="spellEnd"/>
      <w:r>
        <w:t xml:space="preserve">, 6,2%.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adulții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25 </w:t>
      </w:r>
      <w:proofErr w:type="spellStart"/>
      <w:r>
        <w:t>și</w:t>
      </w:r>
      <w:proofErr w:type="spellEnd"/>
      <w:r>
        <w:t xml:space="preserve"> 74 de ani, rata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la 4,9%,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segment a </w:t>
      </w:r>
      <w:proofErr w:type="spellStart"/>
      <w:r>
        <w:t>reprezentat</w:t>
      </w:r>
      <w:proofErr w:type="spellEnd"/>
      <w:r>
        <w:t xml:space="preserve"> 73,3% 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>.</w:t>
      </w:r>
    </w:p>
    <w:p w14:paraId="23E677F4" w14:textId="77777777" w:rsidR="00B57A6D" w:rsidRDefault="00000000">
      <w:pPr>
        <w:spacing w:after="160" w:line="360" w:lineRule="auto"/>
        <w:jc w:val="both"/>
      </w:pPr>
      <w:proofErr w:type="spellStart"/>
      <w:r>
        <w:t>Diferența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cifra</w:t>
      </w:r>
      <w:proofErr w:type="spellEnd"/>
      <w:r>
        <w:t xml:space="preserve"> ANOFM, de 259.160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estimarea</w:t>
      </w:r>
      <w:proofErr w:type="spellEnd"/>
      <w:r>
        <w:t xml:space="preserve"> INS, de 512.100, nu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eroare</w:t>
      </w:r>
      <w:proofErr w:type="spellEnd"/>
      <w:r>
        <w:t xml:space="preserve">, ci o </w:t>
      </w:r>
      <w:proofErr w:type="spellStart"/>
      <w:r>
        <w:t>consecință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metodologii</w:t>
      </w:r>
      <w:proofErr w:type="spellEnd"/>
      <w:r>
        <w:t xml:space="preserve">. ANOFM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la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; cine nu se </w:t>
      </w:r>
      <w:proofErr w:type="spellStart"/>
      <w:r>
        <w:t>înregistrează</w:t>
      </w:r>
      <w:proofErr w:type="spellEnd"/>
      <w:r>
        <w:t xml:space="preserve"> nu </w:t>
      </w:r>
      <w:proofErr w:type="spellStart"/>
      <w:r>
        <w:t>apare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.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, </w:t>
      </w:r>
      <w:proofErr w:type="spellStart"/>
      <w:r>
        <w:t>dimpotrivă</w:t>
      </w:r>
      <w:proofErr w:type="spellEnd"/>
      <w:r>
        <w:t xml:space="preserve">, </w:t>
      </w:r>
      <w:proofErr w:type="spellStart"/>
      <w:r>
        <w:t>estimează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gospodării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care nu </w:t>
      </w:r>
      <w:proofErr w:type="spellStart"/>
      <w:r>
        <w:t>lucrează</w:t>
      </w:r>
      <w:proofErr w:type="spellEnd"/>
      <w:r>
        <w:t xml:space="preserve">,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sunt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, </w:t>
      </w:r>
      <w:proofErr w:type="spellStart"/>
      <w:r>
        <w:lastRenderedPageBreak/>
        <w:t>indiferent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s-au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la o </w:t>
      </w:r>
      <w:proofErr w:type="spellStart"/>
      <w:r>
        <w:t>agenție</w:t>
      </w:r>
      <w:proofErr w:type="spellEnd"/>
      <w:r>
        <w:t xml:space="preserve">. </w:t>
      </w:r>
      <w:proofErr w:type="spellStart"/>
      <w:r>
        <w:t>Prăpastia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, de </w:t>
      </w:r>
      <w:proofErr w:type="spellStart"/>
      <w:r>
        <w:t>peste</w:t>
      </w:r>
      <w:proofErr w:type="spellEnd"/>
      <w:r>
        <w:t xml:space="preserve"> 250.000 de </w:t>
      </w:r>
      <w:proofErr w:type="spellStart"/>
      <w:r>
        <w:t>persoane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zona </w:t>
      </w:r>
      <w:proofErr w:type="spellStart"/>
      <w:r>
        <w:t>gri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: </w:t>
      </w:r>
      <w:proofErr w:type="spellStart"/>
      <w:r>
        <w:t>oameni</w:t>
      </w:r>
      <w:proofErr w:type="spellEnd"/>
      <w:r>
        <w:t xml:space="preserve"> care </w:t>
      </w:r>
      <w:proofErr w:type="spellStart"/>
      <w:r>
        <w:t>caută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trece</w:t>
      </w:r>
      <w:proofErr w:type="spellEnd"/>
      <w:r>
        <w:t xml:space="preserve"> pe la </w:t>
      </w:r>
      <w:proofErr w:type="spellStart"/>
      <w:r>
        <w:t>agenție</w:t>
      </w:r>
      <w:proofErr w:type="spellEnd"/>
      <w:r>
        <w:t xml:space="preserve">, fie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au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indemnizație</w:t>
      </w:r>
      <w:proofErr w:type="spellEnd"/>
      <w:r>
        <w:t xml:space="preserve">, fie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au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eficacitatea</w:t>
      </w:r>
      <w:proofErr w:type="spellEnd"/>
      <w:r>
        <w:t xml:space="preserve"> </w:t>
      </w:r>
      <w:proofErr w:type="spellStart"/>
      <w:r>
        <w:t>medierii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regiune</w:t>
      </w:r>
      <w:proofErr w:type="spellEnd"/>
      <w:r>
        <w:t xml:space="preserve"> precum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informală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agricultura</w:t>
      </w:r>
      <w:proofErr w:type="spellEnd"/>
      <w:r>
        <w:t xml:space="preserve"> de </w:t>
      </w:r>
      <w:proofErr w:type="spellStart"/>
      <w:r>
        <w:t>subzistență</w:t>
      </w:r>
      <w:proofErr w:type="spellEnd"/>
      <w:r>
        <w:t xml:space="preserve"> sunt </w:t>
      </w:r>
      <w:proofErr w:type="spellStart"/>
      <w:r>
        <w:t>răspândite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zonă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probabil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media </w:t>
      </w:r>
      <w:proofErr w:type="spellStart"/>
      <w:r>
        <w:t>națională</w:t>
      </w:r>
      <w:proofErr w:type="spellEnd"/>
      <w:r>
        <w:t>.</w:t>
      </w:r>
    </w:p>
    <w:p w14:paraId="5B948842" w14:textId="77777777" w:rsidR="00B57A6D" w:rsidRDefault="00000000">
      <w:pPr>
        <w:spacing w:after="160" w:line="360" w:lineRule="auto"/>
        <w:jc w:val="both"/>
      </w:pPr>
      <w:r>
        <w:t xml:space="preserve">Lectura </w:t>
      </w:r>
      <w:proofErr w:type="spellStart"/>
      <w:r>
        <w:t>dinamicii</w:t>
      </w:r>
      <w:proofErr w:type="spellEnd"/>
      <w:r>
        <w:t xml:space="preserve"> </w:t>
      </w:r>
      <w:proofErr w:type="spellStart"/>
      <w:r>
        <w:t>indemnizați</w:t>
      </w:r>
      <w:proofErr w:type="spellEnd"/>
      <w:r>
        <w:t>–</w:t>
      </w:r>
      <w:proofErr w:type="spellStart"/>
      <w:r>
        <w:t>neindemnizați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</w:t>
      </w:r>
      <w:proofErr w:type="spellStart"/>
      <w:r>
        <w:t>adaugă</w:t>
      </w:r>
      <w:proofErr w:type="spellEnd"/>
      <w:r>
        <w:t xml:space="preserve"> o </w:t>
      </w:r>
      <w:proofErr w:type="spellStart"/>
      <w:r>
        <w:t>nuanță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.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indemnizați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cu </w:t>
      </w:r>
      <w:proofErr w:type="spellStart"/>
      <w:r>
        <w:t>aproape</w:t>
      </w:r>
      <w:proofErr w:type="spellEnd"/>
      <w:r>
        <w:t xml:space="preserve"> 1.600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neindemnizaților</w:t>
      </w:r>
      <w:proofErr w:type="spellEnd"/>
      <w:r>
        <w:t xml:space="preserve"> a </w:t>
      </w:r>
      <w:proofErr w:type="spellStart"/>
      <w:r>
        <w:t>crescut</w:t>
      </w:r>
      <w:proofErr w:type="spellEnd"/>
      <w:r>
        <w:t xml:space="preserve"> cu </w:t>
      </w:r>
      <w:proofErr w:type="spellStart"/>
      <w:r>
        <w:t>aproape</w:t>
      </w:r>
      <w:proofErr w:type="spellEnd"/>
      <w:r>
        <w:t xml:space="preserve"> 800,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epuizează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indemnizație</w:t>
      </w:r>
      <w:proofErr w:type="spellEnd"/>
      <w:r>
        <w:t xml:space="preserve"> nu </w:t>
      </w:r>
      <w:proofErr w:type="spellStart"/>
      <w:r>
        <w:t>reușesc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angajeze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. </w:t>
      </w:r>
      <w:proofErr w:type="spellStart"/>
      <w:r>
        <w:t>Indemnizația</w:t>
      </w:r>
      <w:proofErr w:type="spellEnd"/>
      <w:r>
        <w:t xml:space="preserve"> de </w:t>
      </w:r>
      <w:proofErr w:type="spellStart"/>
      <w:r>
        <w:t>șomaj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stagiul</w:t>
      </w:r>
      <w:proofErr w:type="spellEnd"/>
      <w:r>
        <w:t xml:space="preserve"> de </w:t>
      </w:r>
      <w:proofErr w:type="spellStart"/>
      <w:r>
        <w:t>cotizare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,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douăsprezece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</w:t>
      </w:r>
      <w:proofErr w:type="spellEnd"/>
      <w:r>
        <w:t xml:space="preserve"> ca </w:t>
      </w:r>
      <w:proofErr w:type="spellStart"/>
      <w:r>
        <w:t>neindemnizată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</w:t>
      </w:r>
      <w:proofErr w:type="spellStart"/>
      <w:r>
        <w:t>și</w:t>
      </w:r>
      <w:proofErr w:type="spellEnd"/>
      <w:r>
        <w:t xml:space="preserve">-a </w:t>
      </w:r>
      <w:proofErr w:type="spellStart"/>
      <w:r>
        <w:t>găsit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categoriei</w:t>
      </w:r>
      <w:proofErr w:type="spellEnd"/>
      <w:r>
        <w:t xml:space="preserve"> </w:t>
      </w:r>
      <w:proofErr w:type="spellStart"/>
      <w:r>
        <w:t>neindemnizaților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un </w:t>
      </w:r>
      <w:proofErr w:type="spellStart"/>
      <w:r>
        <w:t>semnal</w:t>
      </w:r>
      <w:proofErr w:type="spellEnd"/>
      <w:r>
        <w:t xml:space="preserve"> al </w:t>
      </w:r>
      <w:proofErr w:type="spellStart"/>
      <w:r>
        <w:t>cronicizării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semnal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cu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puternic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din </w:t>
      </w:r>
      <w:proofErr w:type="spellStart"/>
      <w:r>
        <w:t>sudul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neindemnizaților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80%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90% din total.</w:t>
      </w:r>
    </w:p>
    <w:p w14:paraId="6C3C23CA" w14:textId="77777777" w:rsidR="00B57A6D" w:rsidRDefault="00000000">
      <w:pPr>
        <w:spacing w:after="160" w:line="360" w:lineRule="auto"/>
        <w:jc w:val="both"/>
      </w:pPr>
      <w:proofErr w:type="spellStart"/>
      <w:r>
        <w:t>Comparația</w:t>
      </w:r>
      <w:proofErr w:type="spellEnd"/>
      <w:r>
        <w:t xml:space="preserve"> cu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precedent </w:t>
      </w:r>
      <w:proofErr w:type="spellStart"/>
      <w:r>
        <w:t>oferă</w:t>
      </w:r>
      <w:proofErr w:type="spellEnd"/>
      <w:r>
        <w:t xml:space="preserve"> un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reper</w:t>
      </w:r>
      <w:proofErr w:type="spellEnd"/>
      <w:r>
        <w:t xml:space="preserve">. </w:t>
      </w:r>
      <w:proofErr w:type="spellStart"/>
      <w:r>
        <w:t>Deși</w:t>
      </w:r>
      <w:proofErr w:type="spellEnd"/>
      <w:r>
        <w:t xml:space="preserve"> rata din </w:t>
      </w:r>
      <w:proofErr w:type="spellStart"/>
      <w:r>
        <w:t>aprilie</w:t>
      </w:r>
      <w:proofErr w:type="spellEnd"/>
      <w:r>
        <w:t xml:space="preserve"> 2026, de 3,24%,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identică</w:t>
      </w:r>
      <w:proofErr w:type="spellEnd"/>
      <w:r>
        <w:t xml:space="preserve"> cu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aprilie</w:t>
      </w:r>
      <w:proofErr w:type="spellEnd"/>
      <w:r>
        <w:t xml:space="preserve"> 2025, </w:t>
      </w:r>
      <w:proofErr w:type="spellStart"/>
      <w:r>
        <w:t>datele</w:t>
      </w:r>
      <w:proofErr w:type="spellEnd"/>
      <w:r>
        <w:t xml:space="preserve"> INS </w:t>
      </w:r>
      <w:proofErr w:type="spellStart"/>
      <w:r>
        <w:t>arată</w:t>
      </w:r>
      <w:proofErr w:type="spellEnd"/>
      <w:r>
        <w:t xml:space="preserve">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deteriorare</w:t>
      </w:r>
      <w:proofErr w:type="spellEnd"/>
      <w:r>
        <w:t xml:space="preserve"> de fond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ultimului</w:t>
      </w:r>
      <w:proofErr w:type="spellEnd"/>
      <w:r>
        <w:t xml:space="preserve"> an, cu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accepțiunea</w:t>
      </w:r>
      <w:proofErr w:type="spellEnd"/>
      <w:r>
        <w:t xml:space="preserve"> BIM.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de INS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2026, de 512.100, era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cel din </w:t>
      </w:r>
      <w:proofErr w:type="spellStart"/>
      <w:r>
        <w:t>aprilie</w:t>
      </w:r>
      <w:proofErr w:type="spellEnd"/>
      <w:r>
        <w:t xml:space="preserve"> 2025, de 501.900.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sub </w:t>
      </w:r>
      <w:proofErr w:type="spellStart"/>
      <w:r>
        <w:t>aparenta</w:t>
      </w:r>
      <w:proofErr w:type="spellEnd"/>
      <w:r>
        <w:t xml:space="preserve"> stabilitate a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se </w:t>
      </w:r>
      <w:proofErr w:type="spellStart"/>
      <w:r>
        <w:t>ascunde</w:t>
      </w:r>
      <w:proofErr w:type="spellEnd"/>
      <w:r>
        <w:t xml:space="preserve"> o </w:t>
      </w:r>
      <w:proofErr w:type="spellStart"/>
      <w:r>
        <w:t>tendință</w:t>
      </w:r>
      <w:proofErr w:type="spellEnd"/>
      <w:r>
        <w:t xml:space="preserve"> </w:t>
      </w:r>
      <w:proofErr w:type="spellStart"/>
      <w:r>
        <w:t>lentă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, de </w:t>
      </w:r>
      <w:proofErr w:type="spellStart"/>
      <w:r>
        <w:t>slăbire</w:t>
      </w:r>
      <w:proofErr w:type="spellEnd"/>
      <w:r>
        <w:t xml:space="preserve"> a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economiei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absorbi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tendință</w:t>
      </w:r>
      <w:proofErr w:type="spellEnd"/>
      <w:r>
        <w:t xml:space="preserve"> pe care </w:t>
      </w:r>
      <w:proofErr w:type="spellStart"/>
      <w:r>
        <w:t>specialiștii</w:t>
      </w:r>
      <w:proofErr w:type="spellEnd"/>
      <w:r>
        <w:t xml:space="preserve"> o </w:t>
      </w:r>
      <w:proofErr w:type="spellStart"/>
      <w:r>
        <w:t>leagă</w:t>
      </w:r>
      <w:proofErr w:type="spellEnd"/>
      <w:r>
        <w:t xml:space="preserve"> de </w:t>
      </w:r>
      <w:proofErr w:type="spellStart"/>
      <w:r>
        <w:t>provocările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încetinirea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>.</w:t>
      </w:r>
    </w:p>
    <w:p w14:paraId="5A35F817" w14:textId="77777777" w:rsidR="00B57A6D" w:rsidRDefault="00000000">
      <w:pPr>
        <w:spacing w:after="160" w:line="360" w:lineRule="auto"/>
        <w:jc w:val="both"/>
      </w:pPr>
      <w:proofErr w:type="spellStart"/>
      <w:r>
        <w:t>Plasarea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context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adaugă</w:t>
      </w:r>
      <w:proofErr w:type="spellEnd"/>
      <w:r>
        <w:t xml:space="preserve"> o </w:t>
      </w:r>
      <w:proofErr w:type="spellStart"/>
      <w:r>
        <w:t>ultimă</w:t>
      </w:r>
      <w:proofErr w:type="spellEnd"/>
      <w:r>
        <w:t xml:space="preserve"> </w:t>
      </w:r>
      <w:proofErr w:type="spellStart"/>
      <w:r>
        <w:t>nuanță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.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calculată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armonizată</w:t>
      </w:r>
      <w:proofErr w:type="spellEnd"/>
      <w:r>
        <w:t xml:space="preserve"> o </w:t>
      </w:r>
      <w:proofErr w:type="spellStart"/>
      <w:r>
        <w:t>situa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2026,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media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țara</w:t>
      </w:r>
      <w:proofErr w:type="spellEnd"/>
      <w:r>
        <w:t xml:space="preserve"> </w:t>
      </w:r>
      <w:proofErr w:type="spellStart"/>
      <w:r>
        <w:t>reușise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mențină</w:t>
      </w:r>
      <w:proofErr w:type="spellEnd"/>
      <w:r>
        <w:t xml:space="preserve"> sub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. (ibidem) </w:t>
      </w:r>
      <w:proofErr w:type="spellStart"/>
      <w:r>
        <w:t>Depășirea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semnal</w:t>
      </w:r>
      <w:proofErr w:type="spellEnd"/>
      <w:r>
        <w:t xml:space="preserve"> de </w:t>
      </w:r>
      <w:proofErr w:type="spellStart"/>
      <w:r>
        <w:t>atenție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survine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moment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economiilor</w:t>
      </w:r>
      <w:proofErr w:type="spellEnd"/>
      <w:r>
        <w:t xml:space="preserve"> </w:t>
      </w:r>
      <w:proofErr w:type="spellStart"/>
      <w:r>
        <w:t>continentale</w:t>
      </w:r>
      <w:proofErr w:type="spellEnd"/>
      <w:r>
        <w:t xml:space="preserve"> </w:t>
      </w:r>
      <w:proofErr w:type="spellStart"/>
      <w:r>
        <w:t>traversau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însele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încetinire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regiune</w:t>
      </w:r>
      <w:proofErr w:type="spellEnd"/>
      <w:r>
        <w:t xml:space="preserve"> precum Sud-Vest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tendință</w:t>
      </w:r>
      <w:proofErr w:type="spellEnd"/>
      <w:r>
        <w:t xml:space="preserve"> de fond </w:t>
      </w:r>
      <w:proofErr w:type="spellStart"/>
      <w:r>
        <w:t>contează</w:t>
      </w:r>
      <w:proofErr w:type="spellEnd"/>
      <w:r>
        <w:t xml:space="preserve">: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din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lastRenderedPageBreak/>
        <w:t>regiunile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fragile sunt </w:t>
      </w:r>
      <w:proofErr w:type="spellStart"/>
      <w:r>
        <w:t>primele</w:t>
      </w:r>
      <w:proofErr w:type="spellEnd"/>
      <w:r>
        <w:t xml:space="preserve"> care </w:t>
      </w:r>
      <w:proofErr w:type="spellStart"/>
      <w:r>
        <w:t>resimt</w:t>
      </w:r>
      <w:proofErr w:type="spellEnd"/>
      <w:r>
        <w:t xml:space="preserve">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. Analiza care </w:t>
      </w:r>
      <w:proofErr w:type="spellStart"/>
      <w:r>
        <w:t>urmează</w:t>
      </w:r>
      <w:proofErr w:type="spellEnd"/>
      <w:r>
        <w:t xml:space="preserve">, </w:t>
      </w:r>
      <w:proofErr w:type="spellStart"/>
      <w:r>
        <w:t>concentrată</w:t>
      </w:r>
      <w:proofErr w:type="spellEnd"/>
      <w:r>
        <w:t xml:space="preserve"> pe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Olteniei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citită</w:t>
      </w:r>
      <w:proofErr w:type="spellEnd"/>
      <w:r>
        <w:t xml:space="preserve"> pe </w:t>
      </w:r>
      <w:proofErr w:type="spellStart"/>
      <w:r>
        <w:t>acest</w:t>
      </w:r>
      <w:proofErr w:type="spellEnd"/>
      <w:r>
        <w:t xml:space="preserve"> fundal de </w:t>
      </w:r>
      <w:proofErr w:type="spellStart"/>
      <w:r>
        <w:t>slăbire</w:t>
      </w:r>
      <w:proofErr w:type="spellEnd"/>
      <w:r>
        <w:t xml:space="preserve"> </w:t>
      </w:r>
      <w:proofErr w:type="spellStart"/>
      <w:r>
        <w:t>lentă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perceptibilă</w:t>
      </w:r>
      <w:proofErr w:type="spellEnd"/>
      <w:r>
        <w:t xml:space="preserve">,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>.</w:t>
      </w:r>
    </w:p>
    <w:p w14:paraId="637B5FFF" w14:textId="7FE5AE9B" w:rsidR="00B57A6D" w:rsidRDefault="00B57A6D">
      <w:pPr>
        <w:pageBreakBefore/>
        <w:spacing w:after="220"/>
      </w:pPr>
    </w:p>
    <w:p w14:paraId="0F1EAB15" w14:textId="77777777" w:rsidR="00B57A6D" w:rsidRDefault="00000000">
      <w:pPr>
        <w:pStyle w:val="Heading1"/>
      </w:pPr>
      <w:bookmarkStart w:id="4" w:name="_Toc232697839"/>
      <w:r>
        <w:t xml:space="preserve">3. </w:t>
      </w: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: </w:t>
      </w:r>
      <w:proofErr w:type="spellStart"/>
      <w:r>
        <w:t>repere</w:t>
      </w:r>
      <w:proofErr w:type="spellEnd"/>
      <w:r>
        <w:t xml:space="preserve"> de context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II-lea</w:t>
      </w:r>
      <w:bookmarkEnd w:id="4"/>
    </w:p>
    <w:p w14:paraId="2695F842" w14:textId="77777777" w:rsidR="00B57A6D" w:rsidRDefault="00000000">
      <w:pPr>
        <w:spacing w:after="160" w:line="360" w:lineRule="auto"/>
        <w:jc w:val="both"/>
      </w:pP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</w:t>
      </w:r>
      <w:proofErr w:type="spellStart"/>
      <w:r>
        <w:t>reunește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care,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ca </w:t>
      </w:r>
      <w:proofErr w:type="spellStart"/>
      <w:r>
        <w:t>istorie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, </w:t>
      </w:r>
      <w:proofErr w:type="spellStart"/>
      <w:r>
        <w:t>împărtășesc</w:t>
      </w:r>
      <w:proofErr w:type="spellEnd"/>
      <w:r>
        <w:t xml:space="preserve"> </w:t>
      </w:r>
      <w:proofErr w:type="spellStart"/>
      <w:r>
        <w:t>aceleași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fond: Dolj, Gorj, </w:t>
      </w:r>
      <w:proofErr w:type="spellStart"/>
      <w:r>
        <w:t>Mehedinți</w:t>
      </w:r>
      <w:proofErr w:type="spellEnd"/>
      <w:r>
        <w:t xml:space="preserve">, Olt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. </w:t>
      </w:r>
      <w:proofErr w:type="spellStart"/>
      <w:r>
        <w:t>Nordul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Gorj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are o </w:t>
      </w:r>
      <w:proofErr w:type="spellStart"/>
      <w:r>
        <w:t>tradiție</w:t>
      </w:r>
      <w:proofErr w:type="spellEnd"/>
      <w:r>
        <w:t xml:space="preserve">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minerit</w:t>
      </w:r>
      <w:proofErr w:type="spellEnd"/>
      <w:r>
        <w:t xml:space="preserve">,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industrie</w:t>
      </w:r>
      <w:proofErr w:type="spellEnd"/>
      <w:r>
        <w:t xml:space="preserve"> </w:t>
      </w:r>
      <w:proofErr w:type="spellStart"/>
      <w:r>
        <w:t>chimică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sudul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Dolj, Olt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preponderent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geografie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se </w:t>
      </w:r>
      <w:proofErr w:type="spellStart"/>
      <w:r>
        <w:t>reflectă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din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: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din </w:t>
      </w:r>
      <w:proofErr w:type="spellStart"/>
      <w:r>
        <w:t>sud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rate,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cu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diversificată</w:t>
      </w:r>
      <w:proofErr w:type="spellEnd"/>
      <w:r>
        <w:t xml:space="preserve"> se </w:t>
      </w:r>
      <w:proofErr w:type="spellStart"/>
      <w:r>
        <w:t>mențin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apropierea</w:t>
      </w:r>
      <w:proofErr w:type="spellEnd"/>
      <w:r>
        <w:t xml:space="preserve"> </w:t>
      </w:r>
      <w:proofErr w:type="spellStart"/>
      <w:r>
        <w:t>mediei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>.</w:t>
      </w:r>
    </w:p>
    <w:p w14:paraId="6261B538" w14:textId="77777777" w:rsidR="00B57A6D" w:rsidRDefault="00000000">
      <w:pPr>
        <w:spacing w:after="160" w:line="360" w:lineRule="auto"/>
        <w:jc w:val="both"/>
      </w:pPr>
      <w:proofErr w:type="spellStart"/>
      <w:r>
        <w:t>Spre</w:t>
      </w:r>
      <w:proofErr w:type="spellEnd"/>
      <w:r>
        <w:t xml:space="preserve"> </w:t>
      </w:r>
      <w:proofErr w:type="spellStart"/>
      <w:r>
        <w:t>deosebire</w:t>
      </w:r>
      <w:proofErr w:type="spellEnd"/>
      <w:r>
        <w:t xml:space="preserve"> de </w:t>
      </w:r>
      <w:proofErr w:type="spellStart"/>
      <w:r>
        <w:t>raportul</w:t>
      </w:r>
      <w:proofErr w:type="spellEnd"/>
      <w:r>
        <w:t xml:space="preserve"> precedent,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insistat</w:t>
      </w:r>
      <w:proofErr w:type="spellEnd"/>
      <w:r>
        <w:t xml:space="preserve"> pe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structural al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documentul</w:t>
      </w:r>
      <w:proofErr w:type="spellEnd"/>
      <w:r>
        <w:t xml:space="preserve"> de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pornește</w:t>
      </w:r>
      <w:proofErr w:type="spellEnd"/>
      <w:r>
        <w:t xml:space="preserve"> de la </w:t>
      </w:r>
      <w:proofErr w:type="spellStart"/>
      <w:r>
        <w:t>premisa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concentrează</w:t>
      </w:r>
      <w:proofErr w:type="spellEnd"/>
      <w:r>
        <w:t xml:space="preserve"> pe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s-a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 xml:space="preserve">. Patru </w:t>
      </w:r>
      <w:proofErr w:type="spellStart"/>
      <w:r>
        <w:t>observații</w:t>
      </w:r>
      <w:proofErr w:type="spellEnd"/>
      <w:r>
        <w:t xml:space="preserve"> </w:t>
      </w:r>
      <w:proofErr w:type="spellStart"/>
      <w:r>
        <w:t>merită</w:t>
      </w:r>
      <w:proofErr w:type="spellEnd"/>
      <w:r>
        <w:t xml:space="preserve"> formulate de la </w:t>
      </w:r>
      <w:proofErr w:type="spellStart"/>
      <w:r>
        <w:t>început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, </w:t>
      </w:r>
      <w:proofErr w:type="spellStart"/>
      <w:r>
        <w:t>vizibilă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s-a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inegal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: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clară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modestă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inexistentă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au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județul</w:t>
      </w:r>
      <w:proofErr w:type="spellEnd"/>
      <w:r>
        <w:t xml:space="preserve"> Gorj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de o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punctuală</w:t>
      </w:r>
      <w:proofErr w:type="spellEnd"/>
      <w:r>
        <w:t xml:space="preserve"> cu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, </w:t>
      </w:r>
      <w:proofErr w:type="spellStart"/>
      <w:r>
        <w:t>anume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energetic. </w:t>
      </w:r>
      <w:proofErr w:type="spellStart"/>
      <w:r>
        <w:t>În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agențiilor</w:t>
      </w:r>
      <w:proofErr w:type="spellEnd"/>
      <w:r>
        <w:t xml:space="preserve"> a </w:t>
      </w:r>
      <w:proofErr w:type="spellStart"/>
      <w:r>
        <w:t>rămas</w:t>
      </w:r>
      <w:proofErr w:type="spellEnd"/>
      <w:r>
        <w:t xml:space="preserve"> </w:t>
      </w:r>
      <w:proofErr w:type="spellStart"/>
      <w:r>
        <w:t>modestă</w:t>
      </w:r>
      <w:proofErr w:type="spellEnd"/>
      <w:r>
        <w:t xml:space="preserve"> </w:t>
      </w:r>
      <w:proofErr w:type="spellStart"/>
      <w:r>
        <w:t>raportat</w:t>
      </w:r>
      <w:proofErr w:type="spellEnd"/>
      <w:r>
        <w:t xml:space="preserve"> la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prezintă</w:t>
      </w:r>
      <w:proofErr w:type="spellEnd"/>
      <w:r>
        <w:t xml:space="preserve"> o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ocupațională</w:t>
      </w:r>
      <w:proofErr w:type="spellEnd"/>
      <w:r>
        <w:t xml:space="preserve"> care </w:t>
      </w:r>
      <w:proofErr w:type="spellStart"/>
      <w:r>
        <w:t>merită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al </w:t>
      </w:r>
      <w:proofErr w:type="spellStart"/>
      <w:r>
        <w:t>patrulea</w:t>
      </w:r>
      <w:proofErr w:type="spellEnd"/>
      <w:r>
        <w:t xml:space="preserve">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au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ritm</w:t>
      </w:r>
      <w:proofErr w:type="spellEnd"/>
      <w:r>
        <w:t xml:space="preserve"> lent.</w:t>
      </w:r>
    </w:p>
    <w:p w14:paraId="59721CDA" w14:textId="77777777" w:rsidR="00B57A6D" w:rsidRDefault="00000000">
      <w:pPr>
        <w:spacing w:after="160" w:line="360" w:lineRule="auto"/>
        <w:jc w:val="both"/>
      </w:pPr>
      <w:proofErr w:type="spellStart"/>
      <w:r>
        <w:t>Municipiile</w:t>
      </w:r>
      <w:proofErr w:type="spellEnd"/>
      <w:r>
        <w:t xml:space="preserve"> </w:t>
      </w:r>
      <w:proofErr w:type="spellStart"/>
      <w:r>
        <w:t>reședință</w:t>
      </w:r>
      <w:proofErr w:type="spellEnd"/>
      <w:r>
        <w:t xml:space="preserve"> de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joace</w:t>
      </w:r>
      <w:proofErr w:type="spellEnd"/>
      <w:r>
        <w:t xml:space="preserve"> un </w:t>
      </w:r>
      <w:proofErr w:type="spellStart"/>
      <w:r>
        <w:t>rol</w:t>
      </w:r>
      <w:proofErr w:type="spellEnd"/>
      <w:r>
        <w:t xml:space="preserve"> </w:t>
      </w:r>
      <w:proofErr w:type="spellStart"/>
      <w:r>
        <w:t>disproporționat</w:t>
      </w:r>
      <w:proofErr w:type="spellEnd"/>
      <w:r>
        <w:t xml:space="preserve">. Craiova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Râmnicu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chimică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turismul</w:t>
      </w:r>
      <w:proofErr w:type="spellEnd"/>
      <w:r>
        <w:t xml:space="preserve"> </w:t>
      </w:r>
      <w:proofErr w:type="spellStart"/>
      <w:r>
        <w:t>balnear</w:t>
      </w:r>
      <w:proofErr w:type="spellEnd"/>
      <w:r>
        <w:t xml:space="preserve">, Târgu Jiu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sectorul</w:t>
      </w:r>
      <w:proofErr w:type="spellEnd"/>
      <w:r>
        <w:t xml:space="preserve"> energetic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restructurare</w:t>
      </w:r>
      <w:proofErr w:type="spellEnd"/>
      <w:r>
        <w:t xml:space="preserve">, Slatina se </w:t>
      </w:r>
      <w:proofErr w:type="spellStart"/>
      <w:r>
        <w:t>sprijină</w:t>
      </w:r>
      <w:proofErr w:type="spellEnd"/>
      <w:r>
        <w:t xml:space="preserve"> pe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aluminiului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Drobeta-Turnu</w:t>
      </w:r>
      <w:proofErr w:type="spellEnd"/>
      <w:r>
        <w:t xml:space="preserve"> Severin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expusă</w:t>
      </w:r>
      <w:proofErr w:type="spellEnd"/>
      <w:r>
        <w:t xml:space="preserve"> </w:t>
      </w:r>
      <w:proofErr w:type="spellStart"/>
      <w:r>
        <w:t>reședință</w:t>
      </w:r>
      <w:proofErr w:type="spellEnd"/>
      <w:r>
        <w:t xml:space="preserve"> din </w:t>
      </w:r>
      <w:proofErr w:type="spellStart"/>
      <w:r>
        <w:t>regiune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orașele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cu </w:t>
      </w:r>
      <w:proofErr w:type="spellStart"/>
      <w:r>
        <w:t>intermitențe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lipsește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>.</w:t>
      </w:r>
    </w:p>
    <w:p w14:paraId="09C9CC89" w14:textId="77777777" w:rsidR="00B57A6D" w:rsidRDefault="00000000">
      <w:pPr>
        <w:pStyle w:val="Heading1"/>
        <w:pageBreakBefore/>
      </w:pPr>
      <w:bookmarkStart w:id="5" w:name="_Toc232697840"/>
      <w:r>
        <w:lastRenderedPageBreak/>
        <w:t xml:space="preserve">4. </w:t>
      </w:r>
      <w:proofErr w:type="spellStart"/>
      <w:r>
        <w:t>Dinamica</w:t>
      </w:r>
      <w:proofErr w:type="spellEnd"/>
      <w:r>
        <w:t xml:space="preserve"> </w:t>
      </w:r>
      <w:proofErr w:type="spellStart"/>
      <w:r>
        <w:t>trimestrială</w:t>
      </w:r>
      <w:proofErr w:type="spellEnd"/>
      <w:r>
        <w:t xml:space="preserve">: </w:t>
      </w:r>
      <w:proofErr w:type="spellStart"/>
      <w:r>
        <w:t>ce</w:t>
      </w:r>
      <w:proofErr w:type="spellEnd"/>
      <w:r>
        <w:t xml:space="preserve"> s-a </w:t>
      </w:r>
      <w:proofErr w:type="spellStart"/>
      <w:r>
        <w:t>schimbat</w:t>
      </w:r>
      <w:proofErr w:type="spellEnd"/>
      <w:r>
        <w:t xml:space="preserve"> de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bookmarkEnd w:id="5"/>
      <w:proofErr w:type="spellEnd"/>
    </w:p>
    <w:p w14:paraId="1DB8687B" w14:textId="77777777" w:rsidR="00B57A6D" w:rsidRDefault="00000000">
      <w:pPr>
        <w:spacing w:after="160" w:line="360" w:lineRule="auto"/>
        <w:jc w:val="both"/>
      </w:pPr>
      <w:r>
        <w:t xml:space="preserve">Cel </w:t>
      </w:r>
      <w:proofErr w:type="spellStart"/>
      <w:r>
        <w:t>mai</w:t>
      </w:r>
      <w:proofErr w:type="spellEnd"/>
      <w:r>
        <w:t xml:space="preserve"> util mod de a </w:t>
      </w:r>
      <w:proofErr w:type="spellStart"/>
      <w:r>
        <w:t>citi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la </w:t>
      </w:r>
      <w:proofErr w:type="spellStart"/>
      <w:r>
        <w:t>situația</w:t>
      </w:r>
      <w:proofErr w:type="spellEnd"/>
      <w:r>
        <w:t xml:space="preserve"> de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.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valorile</w:t>
      </w:r>
      <w:proofErr w:type="spellEnd"/>
      <w:r>
        <w:t xml:space="preserve"> de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,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precedent, cu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vizibilă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privire</w:t>
      </w:r>
      <w:proofErr w:type="spellEnd"/>
      <w:r>
        <w:t>.</w:t>
      </w:r>
    </w:p>
    <w:p w14:paraId="468CFFD0" w14:textId="77777777" w:rsidR="00B57A6D" w:rsidRDefault="00000000">
      <w:pPr>
        <w:spacing w:after="80"/>
      </w:pPr>
      <w:proofErr w:type="spellStart"/>
      <w:r>
        <w:rPr>
          <w:i/>
          <w:iCs/>
          <w:sz w:val="22"/>
          <w:szCs w:val="22"/>
        </w:rPr>
        <w:t>Tabelul</w:t>
      </w:r>
      <w:proofErr w:type="spellEnd"/>
      <w:r>
        <w:rPr>
          <w:i/>
          <w:iCs/>
          <w:sz w:val="22"/>
          <w:szCs w:val="22"/>
        </w:rPr>
        <w:t xml:space="preserve"> 2. Rata </w:t>
      </w:r>
      <w:proofErr w:type="spellStart"/>
      <w:r>
        <w:rPr>
          <w:i/>
          <w:iCs/>
          <w:sz w:val="22"/>
          <w:szCs w:val="22"/>
        </w:rPr>
        <w:t>șomajului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înregistrat</w:t>
      </w:r>
      <w:proofErr w:type="spellEnd"/>
      <w:r>
        <w:rPr>
          <w:i/>
          <w:iCs/>
          <w:sz w:val="22"/>
          <w:szCs w:val="22"/>
        </w:rPr>
        <w:t xml:space="preserve"> pe </w:t>
      </w:r>
      <w:proofErr w:type="spellStart"/>
      <w:r>
        <w:rPr>
          <w:i/>
          <w:iCs/>
          <w:sz w:val="22"/>
          <w:szCs w:val="22"/>
        </w:rPr>
        <w:t>județe</w:t>
      </w:r>
      <w:proofErr w:type="spellEnd"/>
      <w:r>
        <w:rPr>
          <w:i/>
          <w:iCs/>
          <w:sz w:val="22"/>
          <w:szCs w:val="22"/>
        </w:rPr>
        <w:t xml:space="preserve">: </w:t>
      </w:r>
      <w:proofErr w:type="spellStart"/>
      <w:r>
        <w:rPr>
          <w:i/>
          <w:iCs/>
          <w:sz w:val="22"/>
          <w:szCs w:val="22"/>
        </w:rPr>
        <w:t>ianuarie</w:t>
      </w:r>
      <w:proofErr w:type="spellEnd"/>
      <w:r>
        <w:rPr>
          <w:i/>
          <w:iCs/>
          <w:sz w:val="22"/>
          <w:szCs w:val="22"/>
        </w:rPr>
        <w:t xml:space="preserve"> 2026 </w:t>
      </w:r>
      <w:proofErr w:type="spellStart"/>
      <w:r>
        <w:rPr>
          <w:i/>
          <w:iCs/>
          <w:sz w:val="22"/>
          <w:szCs w:val="22"/>
        </w:rPr>
        <w:t>față</w:t>
      </w:r>
      <w:proofErr w:type="spellEnd"/>
      <w:r>
        <w:rPr>
          <w:i/>
          <w:iCs/>
          <w:sz w:val="22"/>
          <w:szCs w:val="22"/>
        </w:rPr>
        <w:t xml:space="preserve"> de </w:t>
      </w:r>
      <w:proofErr w:type="spellStart"/>
      <w:r>
        <w:rPr>
          <w:i/>
          <w:iCs/>
          <w:sz w:val="22"/>
          <w:szCs w:val="22"/>
        </w:rPr>
        <w:t>trimestrul</w:t>
      </w:r>
      <w:proofErr w:type="spellEnd"/>
      <w:r>
        <w:rPr>
          <w:i/>
          <w:iCs/>
          <w:sz w:val="22"/>
          <w:szCs w:val="22"/>
        </w:rPr>
        <w:t xml:space="preserve"> al II-lea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100"/>
        <w:gridCol w:w="2460"/>
        <w:gridCol w:w="2100"/>
      </w:tblGrid>
      <w:tr w:rsidR="00B57A6D" w14:paraId="761660E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A3EB331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Județ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nivel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6D3678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Ianuarie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2026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2CF60FF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Trimestrul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II 2026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8C91AD0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Lună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referință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T2</w:t>
            </w:r>
          </w:p>
        </w:tc>
      </w:tr>
      <w:tr w:rsidR="00B57A6D" w14:paraId="2703D26F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39122E3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Național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1F4408D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3,35%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25D0BC9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3,24%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99D818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</w:p>
        </w:tc>
      </w:tr>
      <w:tr w:rsidR="00B57A6D" w14:paraId="07CEF785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ACAB4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Dolj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333195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≈ 8,5%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A60A71B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8,5% (est.)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F771A1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  <w:r>
              <w:rPr>
                <w:color w:val="000000"/>
                <w:sz w:val="22"/>
                <w:szCs w:val="22"/>
              </w:rPr>
              <w:t>–</w:t>
            </w:r>
            <w:proofErr w:type="spellStart"/>
            <w:r>
              <w:rPr>
                <w:color w:val="000000"/>
                <w:sz w:val="22"/>
                <w:szCs w:val="22"/>
              </w:rPr>
              <w:t>mai</w:t>
            </w:r>
            <w:proofErr w:type="spellEnd"/>
          </w:p>
        </w:tc>
      </w:tr>
      <w:tr w:rsidR="00B57A6D" w14:paraId="4436488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FA6E7A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Mehedinți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6D0AE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8,70%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47E574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8,78% / 8,61%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3A936B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color w:val="000000"/>
                <w:sz w:val="22"/>
                <w:szCs w:val="22"/>
              </w:rPr>
              <w:t>mai</w:t>
            </w:r>
            <w:proofErr w:type="spellEnd"/>
          </w:p>
        </w:tc>
      </w:tr>
      <w:tr w:rsidR="00B57A6D" w14:paraId="195615E3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889ED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Olt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432C86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6,22%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0FD8FD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6,01%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042040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</w:p>
        </w:tc>
      </w:tr>
      <w:tr w:rsidR="00B57A6D" w14:paraId="14C96550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69268C1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Vâlcea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9C96BF0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3,24%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F3E960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3,01% / 2,82%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F0E5B17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martie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 </w:t>
            </w: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</w:p>
        </w:tc>
      </w:tr>
      <w:tr w:rsidR="00B57A6D" w14:paraId="56AA4288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406D61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Gorj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B0E85E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4%</w:t>
            </w:r>
          </w:p>
        </w:tc>
        <w:tc>
          <w:tcPr>
            <w:tcW w:w="24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CCF5EF3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în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jur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 5% (est.)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A7A7368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aprilie</w:t>
            </w:r>
            <w:proofErr w:type="spellEnd"/>
          </w:p>
        </w:tc>
      </w:tr>
    </w:tbl>
    <w:p w14:paraId="5CC74EDF" w14:textId="77777777" w:rsidR="00B57A6D" w:rsidRDefault="00000000">
      <w:pPr>
        <w:spacing w:before="40" w:after="200"/>
        <w:jc w:val="right"/>
      </w:pPr>
      <w:r>
        <w:rPr>
          <w:i/>
          <w:iCs/>
          <w:color w:val="595959"/>
          <w:sz w:val="20"/>
          <w:szCs w:val="20"/>
        </w:rPr>
        <w:t xml:space="preserve">Sursa: </w:t>
      </w:r>
      <w:proofErr w:type="spellStart"/>
      <w:r>
        <w:rPr>
          <w:i/>
          <w:iCs/>
          <w:color w:val="595959"/>
          <w:sz w:val="20"/>
          <w:szCs w:val="20"/>
        </w:rPr>
        <w:t>Prelucrare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proprie</w:t>
      </w:r>
      <w:proofErr w:type="spellEnd"/>
      <w:r>
        <w:rPr>
          <w:i/>
          <w:iCs/>
          <w:color w:val="595959"/>
          <w:sz w:val="20"/>
          <w:szCs w:val="20"/>
        </w:rPr>
        <w:t xml:space="preserve"> pe </w:t>
      </w:r>
      <w:proofErr w:type="spellStart"/>
      <w:r>
        <w:rPr>
          <w:i/>
          <w:iCs/>
          <w:color w:val="595959"/>
          <w:sz w:val="20"/>
          <w:szCs w:val="20"/>
        </w:rPr>
        <w:t>baza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comunicatelor</w:t>
      </w:r>
      <w:proofErr w:type="spellEnd"/>
      <w:r>
        <w:rPr>
          <w:i/>
          <w:iCs/>
          <w:color w:val="595959"/>
          <w:sz w:val="20"/>
          <w:szCs w:val="20"/>
        </w:rPr>
        <w:t xml:space="preserve"> ANOFM </w:t>
      </w:r>
      <w:proofErr w:type="spellStart"/>
      <w:r>
        <w:rPr>
          <w:i/>
          <w:iCs/>
          <w:color w:val="595959"/>
          <w:sz w:val="20"/>
          <w:szCs w:val="20"/>
        </w:rPr>
        <w:t>și</w:t>
      </w:r>
      <w:proofErr w:type="spellEnd"/>
      <w:r>
        <w:rPr>
          <w:i/>
          <w:iCs/>
          <w:color w:val="595959"/>
          <w:sz w:val="20"/>
          <w:szCs w:val="20"/>
        </w:rPr>
        <w:t xml:space="preserve"> ale AJOFM Olt, </w:t>
      </w:r>
      <w:proofErr w:type="spellStart"/>
      <w:r>
        <w:rPr>
          <w:i/>
          <w:iCs/>
          <w:color w:val="595959"/>
          <w:sz w:val="20"/>
          <w:szCs w:val="20"/>
        </w:rPr>
        <w:t>Vâlcea</w:t>
      </w:r>
      <w:proofErr w:type="spellEnd"/>
      <w:r>
        <w:rPr>
          <w:i/>
          <w:iCs/>
          <w:color w:val="595959"/>
          <w:sz w:val="20"/>
          <w:szCs w:val="20"/>
        </w:rPr>
        <w:t xml:space="preserve">, </w:t>
      </w:r>
      <w:proofErr w:type="spellStart"/>
      <w:r>
        <w:rPr>
          <w:i/>
          <w:iCs/>
          <w:color w:val="595959"/>
          <w:sz w:val="20"/>
          <w:szCs w:val="20"/>
        </w:rPr>
        <w:t>Mehedinți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și</w:t>
      </w:r>
      <w:proofErr w:type="spellEnd"/>
      <w:r>
        <w:rPr>
          <w:i/>
          <w:iCs/>
          <w:color w:val="595959"/>
          <w:sz w:val="20"/>
          <w:szCs w:val="20"/>
        </w:rPr>
        <w:t xml:space="preserve"> Dolj, </w:t>
      </w:r>
      <w:proofErr w:type="spellStart"/>
      <w:r>
        <w:rPr>
          <w:i/>
          <w:iCs/>
          <w:color w:val="595959"/>
          <w:sz w:val="20"/>
          <w:szCs w:val="20"/>
        </w:rPr>
        <w:t>aprilie</w:t>
      </w:r>
      <w:proofErr w:type="spellEnd"/>
      <w:r>
        <w:rPr>
          <w:i/>
          <w:iCs/>
          <w:color w:val="595959"/>
          <w:sz w:val="20"/>
          <w:szCs w:val="20"/>
        </w:rPr>
        <w:t>–</w:t>
      </w:r>
      <w:proofErr w:type="spellStart"/>
      <w:r>
        <w:rPr>
          <w:i/>
          <w:iCs/>
          <w:color w:val="595959"/>
          <w:sz w:val="20"/>
          <w:szCs w:val="20"/>
        </w:rPr>
        <w:t>mai</w:t>
      </w:r>
      <w:proofErr w:type="spellEnd"/>
      <w:r>
        <w:rPr>
          <w:i/>
          <w:iCs/>
          <w:color w:val="595959"/>
          <w:sz w:val="20"/>
          <w:szCs w:val="20"/>
        </w:rPr>
        <w:t xml:space="preserve"> 2026.</w:t>
      </w:r>
    </w:p>
    <w:p w14:paraId="65299754" w14:textId="77777777" w:rsidR="00B57A6D" w:rsidRDefault="00000000">
      <w:pPr>
        <w:spacing w:after="160" w:line="36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sunt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au </w:t>
      </w:r>
      <w:proofErr w:type="spellStart"/>
      <w:r>
        <w:t>comunicat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date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 ale </w:t>
      </w:r>
      <w:proofErr w:type="spellStart"/>
      <w:r>
        <w:t>trimestrului</w:t>
      </w:r>
      <w:proofErr w:type="spellEnd"/>
      <w:r>
        <w:t xml:space="preserve">.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marcate</w:t>
      </w:r>
      <w:proofErr w:type="spellEnd"/>
      <w:r>
        <w:t xml:space="preserve"> ca estimative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comunicări</w:t>
      </w:r>
      <w:proofErr w:type="spellEnd"/>
      <w:r>
        <w:t xml:space="preserve"> </w:t>
      </w:r>
      <w:proofErr w:type="spellStart"/>
      <w:r>
        <w:t>parțiale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declarații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verificate</w:t>
      </w:r>
      <w:proofErr w:type="spellEnd"/>
      <w:r>
        <w:t xml:space="preserve"> la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>.</w:t>
      </w:r>
    </w:p>
    <w:p w14:paraId="079F54F3" w14:textId="77777777" w:rsidR="00B57A6D" w:rsidRDefault="00000000">
      <w:pPr>
        <w:spacing w:after="160" w:line="360" w:lineRule="auto"/>
        <w:jc w:val="both"/>
      </w:pPr>
      <w:r>
        <w:t xml:space="preserve">Lectura </w:t>
      </w:r>
      <w:proofErr w:type="spellStart"/>
      <w:r>
        <w:t>tabelului</w:t>
      </w:r>
      <w:proofErr w:type="spellEnd"/>
      <w:r>
        <w:t xml:space="preserve"> </w:t>
      </w:r>
      <w:proofErr w:type="spellStart"/>
      <w:r>
        <w:t>scoate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mișcări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. Prima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generalizată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modestă</w:t>
      </w:r>
      <w:proofErr w:type="spellEnd"/>
      <w:r>
        <w:t xml:space="preserve">, a </w:t>
      </w:r>
      <w:proofErr w:type="spellStart"/>
      <w:r>
        <w:t>ratei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cu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diversificată</w:t>
      </w:r>
      <w:proofErr w:type="spellEnd"/>
      <w:r>
        <w:t xml:space="preserve">.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exemplul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: de la 3,24%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, rata a </w:t>
      </w:r>
      <w:proofErr w:type="spellStart"/>
      <w:r>
        <w:t>coborât</w:t>
      </w:r>
      <w:proofErr w:type="spellEnd"/>
      <w:r>
        <w:t xml:space="preserve"> la 3,01%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2,82%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intrând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.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mișcare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rezistența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din </w:t>
      </w:r>
      <w:proofErr w:type="spellStart"/>
      <w:r>
        <w:t>sud</w:t>
      </w:r>
      <w:proofErr w:type="spellEnd"/>
      <w:r>
        <w:t xml:space="preserve">. </w:t>
      </w:r>
      <w:proofErr w:type="spellStart"/>
      <w:r>
        <w:t>Mehedinți</w:t>
      </w:r>
      <w:proofErr w:type="spellEnd"/>
      <w:r>
        <w:t xml:space="preserve"> a </w:t>
      </w:r>
      <w:proofErr w:type="spellStart"/>
      <w:r>
        <w:t>urcat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la 8,78%, </w:t>
      </w:r>
      <w:proofErr w:type="spellStart"/>
      <w:r>
        <w:t>după</w:t>
      </w:r>
      <w:proofErr w:type="spellEnd"/>
      <w:r>
        <w:t xml:space="preserve"> care a </w:t>
      </w:r>
      <w:proofErr w:type="spellStart"/>
      <w:r>
        <w:t>coborât</w:t>
      </w:r>
      <w:proofErr w:type="spellEnd"/>
      <w:r>
        <w:t xml:space="preserve"> la 8,61%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rămânând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constant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țării</w:t>
      </w:r>
      <w:proofErr w:type="spellEnd"/>
      <w:r>
        <w:t xml:space="preserve">. A </w:t>
      </w:r>
      <w:proofErr w:type="spellStart"/>
      <w:r>
        <w:t>treia</w:t>
      </w:r>
      <w:proofErr w:type="spellEnd"/>
      <w:r>
        <w:t xml:space="preserve"> </w:t>
      </w:r>
      <w:proofErr w:type="spellStart"/>
      <w:r>
        <w:t>mișcare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înțelegerea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gorjeană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o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administrativă</w:t>
      </w:r>
      <w:proofErr w:type="spellEnd"/>
      <w:r>
        <w:t xml:space="preserve"> a </w:t>
      </w:r>
      <w:proofErr w:type="spellStart"/>
      <w:r>
        <w:t>întrerupt</w:t>
      </w:r>
      <w:proofErr w:type="spellEnd"/>
      <w:r>
        <w:t xml:space="preserve"> </w:t>
      </w:r>
      <w:proofErr w:type="spellStart"/>
      <w:r>
        <w:t>tendința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de </w:t>
      </w:r>
      <w:proofErr w:type="spellStart"/>
      <w:r>
        <w:t>scădere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împins</w:t>
      </w:r>
      <w:proofErr w:type="spellEnd"/>
      <w:r>
        <w:t xml:space="preserve"> rata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invers.</w:t>
      </w:r>
    </w:p>
    <w:p w14:paraId="068AA32E" w14:textId="77777777" w:rsidR="00B57A6D" w:rsidRDefault="00000000">
      <w:pPr>
        <w:spacing w:after="160" w:line="360" w:lineRule="auto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diversitate</w:t>
      </w:r>
      <w:proofErr w:type="spellEnd"/>
      <w:r>
        <w:t xml:space="preserve"> a </w:t>
      </w:r>
      <w:proofErr w:type="spellStart"/>
      <w:r>
        <w:t>traiectoriilor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de </w:t>
      </w:r>
      <w:proofErr w:type="spellStart"/>
      <w:r>
        <w:t>fapt</w:t>
      </w:r>
      <w:proofErr w:type="spellEnd"/>
      <w:r>
        <w:t xml:space="preserve">, </w:t>
      </w:r>
      <w:proofErr w:type="spellStart"/>
      <w:r>
        <w:t>mesajul</w:t>
      </w:r>
      <w:proofErr w:type="spellEnd"/>
      <w:r>
        <w:t xml:space="preserve"> central al </w:t>
      </w:r>
      <w:proofErr w:type="spellStart"/>
      <w:r>
        <w:t>trimestrului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agregat</w:t>
      </w:r>
      <w:proofErr w:type="spellEnd"/>
      <w:r>
        <w:t xml:space="preserve">, </w:t>
      </w:r>
      <w:proofErr w:type="spellStart"/>
      <w:r>
        <w:t>regiunea</w:t>
      </w:r>
      <w:proofErr w:type="spellEnd"/>
      <w:r>
        <w:t xml:space="preserve"> pare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urmeze</w:t>
      </w:r>
      <w:proofErr w:type="spellEnd"/>
      <w:r>
        <w:t xml:space="preserve"> </w:t>
      </w:r>
      <w:proofErr w:type="spellStart"/>
      <w:r>
        <w:t>tendința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, </w:t>
      </w:r>
      <w:proofErr w:type="spellStart"/>
      <w:r>
        <w:t>ameliorarea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o </w:t>
      </w:r>
      <w:proofErr w:type="spellStart"/>
      <w:r>
        <w:t>permite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lastRenderedPageBreak/>
        <w:t>zonele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un </w:t>
      </w:r>
      <w:proofErr w:type="spellStart"/>
      <w:r>
        <w:t>singur</w:t>
      </w:r>
      <w:proofErr w:type="spellEnd"/>
      <w:r>
        <w:t xml:space="preserve"> sector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agricultura</w:t>
      </w:r>
      <w:proofErr w:type="spellEnd"/>
      <w:r>
        <w:t xml:space="preserve"> de </w:t>
      </w:r>
      <w:proofErr w:type="spellStart"/>
      <w:r>
        <w:t>subzistență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blocată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se </w:t>
      </w:r>
      <w:proofErr w:type="spellStart"/>
      <w:r>
        <w:t>înrăutățește</w:t>
      </w:r>
      <w:proofErr w:type="spellEnd"/>
      <w:r>
        <w:t xml:space="preserve">. </w:t>
      </w:r>
      <w:proofErr w:type="spellStart"/>
      <w:r>
        <w:t>Mediile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ascund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diferențe</w:t>
      </w:r>
      <w:proofErr w:type="spellEnd"/>
      <w:r>
        <w:t xml:space="preserve">; </w:t>
      </w:r>
      <w:proofErr w:type="spellStart"/>
      <w:r>
        <w:t>analiza</w:t>
      </w:r>
      <w:proofErr w:type="spellEnd"/>
      <w:r>
        <w:t xml:space="preserve"> pe </w:t>
      </w:r>
      <w:proofErr w:type="spellStart"/>
      <w:r>
        <w:t>județe</w:t>
      </w:r>
      <w:proofErr w:type="spellEnd"/>
      <w:r>
        <w:t xml:space="preserve"> le </w:t>
      </w:r>
      <w:proofErr w:type="spellStart"/>
      <w:r>
        <w:t>scoate</w:t>
      </w:r>
      <w:proofErr w:type="spellEnd"/>
      <w:r>
        <w:t xml:space="preserve"> la </w:t>
      </w:r>
      <w:proofErr w:type="spellStart"/>
      <w:r>
        <w:t>suprafață</w:t>
      </w:r>
      <w:proofErr w:type="spellEnd"/>
      <w:r>
        <w:t>.</w:t>
      </w:r>
    </w:p>
    <w:p w14:paraId="0FA2D855" w14:textId="0BF49FCC" w:rsidR="00B57A6D" w:rsidRDefault="00B57A6D">
      <w:pPr>
        <w:pageBreakBefore/>
        <w:spacing w:after="220"/>
      </w:pPr>
    </w:p>
    <w:p w14:paraId="7551E654" w14:textId="77777777" w:rsidR="00B57A6D" w:rsidRDefault="00000000">
      <w:pPr>
        <w:pStyle w:val="Heading1"/>
      </w:pPr>
      <w:bookmarkStart w:id="6" w:name="_Toc232697841"/>
      <w:r>
        <w:t xml:space="preserve">5. </w:t>
      </w:r>
      <w:proofErr w:type="spellStart"/>
      <w:r>
        <w:t>Județul</w:t>
      </w:r>
      <w:proofErr w:type="spellEnd"/>
      <w:r>
        <w:t xml:space="preserve"> Dolj</w:t>
      </w:r>
      <w:bookmarkEnd w:id="6"/>
    </w:p>
    <w:p w14:paraId="61FE2038" w14:textId="77777777" w:rsidR="00B57A6D" w:rsidRDefault="00000000">
      <w:pPr>
        <w:spacing w:after="160" w:line="360" w:lineRule="auto"/>
        <w:jc w:val="both"/>
      </w:pPr>
      <w:r>
        <w:t xml:space="preserve">Dolj </w:t>
      </w:r>
      <w:proofErr w:type="spellStart"/>
      <w:r>
        <w:t>rămâne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absolut</w:t>
      </w:r>
      <w:proofErr w:type="spellEnd"/>
      <w:r>
        <w:t xml:space="preserve"> de </w:t>
      </w:r>
      <w:proofErr w:type="spellStart"/>
      <w:r>
        <w:t>șomeri</w:t>
      </w:r>
      <w:proofErr w:type="spellEnd"/>
      <w:r>
        <w:t xml:space="preserve">,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 al </w:t>
      </w:r>
      <w:proofErr w:type="spellStart"/>
      <w:r>
        <w:t>regiunii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apăsate</w:t>
      </w:r>
      <w:proofErr w:type="spellEnd"/>
      <w:r>
        <w:t xml:space="preserve"> din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țară</w:t>
      </w:r>
      <w:proofErr w:type="spellEnd"/>
      <w:r>
        <w:t xml:space="preserve">. </w:t>
      </w:r>
      <w:proofErr w:type="spellStart"/>
      <w:r>
        <w:t>Poziția</w:t>
      </w:r>
      <w:proofErr w:type="spellEnd"/>
      <w:r>
        <w:t xml:space="preserve"> se </w:t>
      </w:r>
      <w:proofErr w:type="spellStart"/>
      <w:r>
        <w:t>explică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, ci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populației</w:t>
      </w:r>
      <w:proofErr w:type="spellEnd"/>
      <w:r>
        <w:t xml:space="preserve">: </w:t>
      </w:r>
      <w:proofErr w:type="spellStart"/>
      <w:r>
        <w:t>fiind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populat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 al </w:t>
      </w:r>
      <w:proofErr w:type="spellStart"/>
      <w:r>
        <w:t>Olteniei</w:t>
      </w:r>
      <w:proofErr w:type="spellEnd"/>
      <w:r>
        <w:t xml:space="preserve">, Dolj </w:t>
      </w:r>
      <w:proofErr w:type="spellStart"/>
      <w:r>
        <w:t>generează</w:t>
      </w:r>
      <w:proofErr w:type="spellEnd"/>
      <w:r>
        <w:t xml:space="preserve"> un </w:t>
      </w:r>
      <w:proofErr w:type="spellStart"/>
      <w:r>
        <w:t>volum</w:t>
      </w:r>
      <w:proofErr w:type="spellEnd"/>
      <w:r>
        <w:t xml:space="preserve"> de </w:t>
      </w:r>
      <w:proofErr w:type="spellStart"/>
      <w:r>
        <w:t>șomeri</w:t>
      </w:r>
      <w:proofErr w:type="spellEnd"/>
      <w:r>
        <w:t xml:space="preserve"> pe care </w:t>
      </w:r>
      <w:proofErr w:type="spellStart"/>
      <w:r>
        <w:t>niciun</w:t>
      </w:r>
      <w:proofErr w:type="spellEnd"/>
      <w:r>
        <w:t xml:space="preserve"> alt </w:t>
      </w:r>
      <w:proofErr w:type="spellStart"/>
      <w:r>
        <w:t>județ</w:t>
      </w:r>
      <w:proofErr w:type="spellEnd"/>
      <w:r>
        <w:t xml:space="preserve"> din </w:t>
      </w:r>
      <w:proofErr w:type="spellStart"/>
      <w:r>
        <w:t>regiune</w:t>
      </w:r>
      <w:proofErr w:type="spellEnd"/>
      <w:r>
        <w:t xml:space="preserve"> nu </w:t>
      </w:r>
      <w:proofErr w:type="spellStart"/>
      <w:r>
        <w:t>îl</w:t>
      </w:r>
      <w:proofErr w:type="spellEnd"/>
      <w:r>
        <w:t xml:space="preserve"> </w:t>
      </w:r>
      <w:proofErr w:type="spellStart"/>
      <w:r>
        <w:t>atinge</w:t>
      </w:r>
      <w:proofErr w:type="spellEnd"/>
      <w:r>
        <w:t xml:space="preserve">.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2026,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figurau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20.000 de </w:t>
      </w:r>
      <w:proofErr w:type="spellStart"/>
      <w:r>
        <w:t>persoane</w:t>
      </w:r>
      <w:proofErr w:type="spellEnd"/>
      <w:r>
        <w:t xml:space="preserve">, (ANOFM,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la 31 </w:t>
      </w:r>
      <w:proofErr w:type="spellStart"/>
      <w:r>
        <w:t>ianuarie</w:t>
      </w:r>
      <w:proofErr w:type="spellEnd"/>
      <w:r>
        <w:t xml:space="preserve"> 2026)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trecerea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nu a </w:t>
      </w:r>
      <w:proofErr w:type="spellStart"/>
      <w:r>
        <w:t>modificat</w:t>
      </w:r>
      <w:proofErr w:type="spellEnd"/>
      <w:r>
        <w:t xml:space="preserve"> fundamental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de </w:t>
      </w:r>
      <w:proofErr w:type="spellStart"/>
      <w:r>
        <w:t>mărime</w:t>
      </w:r>
      <w:proofErr w:type="spellEnd"/>
      <w:r>
        <w:t>.</w:t>
      </w:r>
    </w:p>
    <w:p w14:paraId="6D270059" w14:textId="77777777" w:rsidR="00B57A6D" w:rsidRDefault="00000000">
      <w:pPr>
        <w:spacing w:after="160" w:line="360" w:lineRule="auto"/>
        <w:jc w:val="both"/>
      </w:pPr>
      <w:proofErr w:type="spellStart"/>
      <w:r>
        <w:t>Traiectoria</w:t>
      </w:r>
      <w:proofErr w:type="spellEnd"/>
      <w:r>
        <w:t xml:space="preserve"> </w:t>
      </w:r>
      <w:proofErr w:type="spellStart"/>
      <w:r>
        <w:t>recentă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cifrelor</w:t>
      </w:r>
      <w:proofErr w:type="spellEnd"/>
      <w:r>
        <w:t xml:space="preserve"> din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august 2025,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Dolj era de 8,69%, </w:t>
      </w:r>
      <w:proofErr w:type="spellStart"/>
      <w:r>
        <w:t>corespunzând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de 19.552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9.047 </w:t>
      </w:r>
      <w:proofErr w:type="spellStart"/>
      <w:r>
        <w:t>femei</w:t>
      </w:r>
      <w:proofErr w:type="spellEnd"/>
      <w:r>
        <w:t xml:space="preserve">. (AJOFM Dolj,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Indiscret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Oltenia</w:t>
      </w:r>
      <w:proofErr w:type="spellEnd"/>
      <w:r>
        <w:t xml:space="preserve">, 28 </w:t>
      </w:r>
      <w:proofErr w:type="spellStart"/>
      <w:r>
        <w:t>octombrie</w:t>
      </w:r>
      <w:proofErr w:type="spellEnd"/>
      <w:r>
        <w:t xml:space="preserve"> 2025)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1.791 </w:t>
      </w:r>
      <w:proofErr w:type="spellStart"/>
      <w:r>
        <w:t>beneficiau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17.761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neindemnizate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16.826 </w:t>
      </w:r>
      <w:proofErr w:type="spellStart"/>
      <w:r>
        <w:t>proveneau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doar</w:t>
      </w:r>
      <w:proofErr w:type="spellEnd"/>
      <w:r>
        <w:t xml:space="preserve"> 2.726 din urban.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 </w:t>
      </w:r>
      <w:proofErr w:type="spellStart"/>
      <w:r>
        <w:t>depășea</w:t>
      </w:r>
      <w:proofErr w:type="spellEnd"/>
      <w:r>
        <w:t xml:space="preserve"> 90%,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dezechilibrate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s-a </w:t>
      </w:r>
      <w:proofErr w:type="spellStart"/>
      <w:r>
        <w:t>schimbat</w:t>
      </w:r>
      <w:proofErr w:type="spellEnd"/>
      <w:r>
        <w:t xml:space="preserve"> </w:t>
      </w:r>
      <w:proofErr w:type="spellStart"/>
      <w:r>
        <w:t>semnificativ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jumătate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2026. </w:t>
      </w:r>
      <w:proofErr w:type="spellStart"/>
      <w:r>
        <w:t>Ea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șomajul</w:t>
      </w:r>
      <w:proofErr w:type="spellEnd"/>
      <w:r>
        <w:t xml:space="preserve"> </w:t>
      </w:r>
      <w:proofErr w:type="spellStart"/>
      <w:r>
        <w:t>doljean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, format din </w:t>
      </w:r>
      <w:proofErr w:type="spellStart"/>
      <w:r>
        <w:t>persoane</w:t>
      </w:r>
      <w:proofErr w:type="spellEnd"/>
      <w:r>
        <w:t xml:space="preserve"> care de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nu </w:t>
      </w:r>
      <w:proofErr w:type="spellStart"/>
      <w:r>
        <w:t>reușesc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revină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degrabă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mediere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indemnizație</w:t>
      </w:r>
      <w:proofErr w:type="spellEnd"/>
      <w:r>
        <w:t>.</w:t>
      </w:r>
    </w:p>
    <w:p w14:paraId="0C4547C7" w14:textId="77777777" w:rsidR="00B57A6D" w:rsidRDefault="00000000">
      <w:pPr>
        <w:spacing w:after="160" w:line="36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cu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8%.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plasează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constant Dolj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Teleorman</w:t>
      </w:r>
      <w:proofErr w:type="spellEnd"/>
      <w:r>
        <w:t xml:space="preserve">, </w:t>
      </w:r>
      <w:proofErr w:type="spellStart"/>
      <w:r>
        <w:t>Vaslui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a </w:t>
      </w:r>
      <w:proofErr w:type="spellStart"/>
      <w:r>
        <w:t>clasamentului</w:t>
      </w:r>
      <w:proofErr w:type="spellEnd"/>
      <w:r>
        <w:t xml:space="preserve">. (Ziarul Financiar, 2026)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s-a </w:t>
      </w:r>
      <w:proofErr w:type="spellStart"/>
      <w:r>
        <w:t>menținut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de 20.000,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mișcările</w:t>
      </w:r>
      <w:proofErr w:type="spellEnd"/>
      <w:r>
        <w:t xml:space="preserve"> </w:t>
      </w:r>
      <w:proofErr w:type="spellStart"/>
      <w:r>
        <w:t>bruște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indica o </w:t>
      </w:r>
      <w:proofErr w:type="spellStart"/>
      <w:r>
        <w:t>schimbare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lună</w:t>
      </w:r>
      <w:proofErr w:type="spellEnd"/>
      <w:r>
        <w:t xml:space="preserve"> a </w:t>
      </w:r>
      <w:proofErr w:type="spellStart"/>
      <w:r>
        <w:t>trimestrului</w:t>
      </w:r>
      <w:proofErr w:type="spellEnd"/>
      <w:r>
        <w:t xml:space="preserve">,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a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verificată</w:t>
      </w:r>
      <w:proofErr w:type="spellEnd"/>
      <w:r>
        <w:t xml:space="preserve"> la AJOFM Dolj; </w:t>
      </w:r>
      <w:proofErr w:type="spellStart"/>
      <w:r>
        <w:t>ordinul</w:t>
      </w:r>
      <w:proofErr w:type="spellEnd"/>
      <w:r>
        <w:t xml:space="preserve"> de </w:t>
      </w:r>
      <w:proofErr w:type="spellStart"/>
      <w:r>
        <w:t>mărime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bine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>.</w:t>
      </w:r>
    </w:p>
    <w:p w14:paraId="58DF50EB" w14:textId="77777777" w:rsidR="00B57A6D" w:rsidRDefault="00000000">
      <w:pPr>
        <w:spacing w:after="160" w:line="360" w:lineRule="auto"/>
        <w:jc w:val="both"/>
      </w:pPr>
      <w:proofErr w:type="spellStart"/>
      <w:r>
        <w:t>Elementul</w:t>
      </w:r>
      <w:proofErr w:type="spellEnd"/>
      <w:r>
        <w:t xml:space="preserve"> cu </w:t>
      </w:r>
      <w:proofErr w:type="spellStart"/>
      <w:r>
        <w:t>adevărat</w:t>
      </w:r>
      <w:proofErr w:type="spellEnd"/>
      <w:r>
        <w:t xml:space="preserve"> nou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trimestru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La </w:t>
      </w:r>
      <w:proofErr w:type="spellStart"/>
      <w:r>
        <w:t>jumătatea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 2026, AJOFM Dolj </w:t>
      </w:r>
      <w:proofErr w:type="spellStart"/>
      <w:r>
        <w:t>comunica</w:t>
      </w:r>
      <w:proofErr w:type="spellEnd"/>
      <w:r>
        <w:t xml:space="preserve"> un </w:t>
      </w:r>
      <w:proofErr w:type="spellStart"/>
      <w:r>
        <w:t>număr</w:t>
      </w:r>
      <w:proofErr w:type="spellEnd"/>
      <w:r>
        <w:t xml:space="preserve"> de 190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de </w:t>
      </w:r>
      <w:proofErr w:type="spellStart"/>
      <w:r>
        <w:t>angajatori</w:t>
      </w:r>
      <w:proofErr w:type="spellEnd"/>
      <w:r>
        <w:t xml:space="preserve">. (AJOFM Dolj,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decalajul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disponibilitate</w:t>
      </w:r>
      <w:proofErr w:type="spellEnd"/>
      <w:r>
        <w:t xml:space="preserve">.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190 de </w:t>
      </w:r>
      <w:proofErr w:type="spellStart"/>
      <w:r>
        <w:lastRenderedPageBreak/>
        <w:t>posturi</w:t>
      </w:r>
      <w:proofErr w:type="spellEnd"/>
      <w:r>
        <w:t xml:space="preserve">, 24 </w:t>
      </w:r>
      <w:proofErr w:type="spellStart"/>
      <w:r>
        <w:t>erau</w:t>
      </w:r>
      <w:proofErr w:type="spellEnd"/>
      <w:r>
        <w:t xml:space="preserve"> destinate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90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liceale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absolvenții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superior se </w:t>
      </w:r>
      <w:proofErr w:type="spellStart"/>
      <w:r>
        <w:t>ofereau</w:t>
      </w:r>
      <w:proofErr w:type="spellEnd"/>
      <w:r>
        <w:t xml:space="preserve"> </w:t>
      </w:r>
      <w:proofErr w:type="spellStart"/>
      <w:r>
        <w:t>funcții</w:t>
      </w:r>
      <w:proofErr w:type="spellEnd"/>
      <w:r>
        <w:t xml:space="preserve"> precum expert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manager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programator</w:t>
      </w:r>
      <w:proofErr w:type="spellEnd"/>
      <w:r>
        <w:t xml:space="preserve">, </w:t>
      </w:r>
      <w:proofErr w:type="spellStart"/>
      <w:r>
        <w:t>inginer</w:t>
      </w:r>
      <w:proofErr w:type="spellEnd"/>
      <w:r>
        <w:t xml:space="preserve">,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director </w:t>
      </w:r>
      <w:proofErr w:type="spellStart"/>
      <w:r>
        <w:t>tehnic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 de sudor, electrician, </w:t>
      </w:r>
      <w:proofErr w:type="spellStart"/>
      <w:r>
        <w:t>lăcătuș</w:t>
      </w:r>
      <w:proofErr w:type="spellEnd"/>
      <w:r>
        <w:t xml:space="preserve"> </w:t>
      </w:r>
      <w:proofErr w:type="spellStart"/>
      <w:r>
        <w:t>mecanic</w:t>
      </w:r>
      <w:proofErr w:type="spellEnd"/>
      <w:r>
        <w:t xml:space="preserve">, operator la </w:t>
      </w:r>
      <w:proofErr w:type="spellStart"/>
      <w:r>
        <w:t>mașini</w:t>
      </w:r>
      <w:proofErr w:type="spellEnd"/>
      <w:r>
        <w:t xml:space="preserve"> cu </w:t>
      </w:r>
      <w:proofErr w:type="spellStart"/>
      <w:r>
        <w:t>comandă</w:t>
      </w:r>
      <w:proofErr w:type="spellEnd"/>
      <w:r>
        <w:t xml:space="preserve"> </w:t>
      </w:r>
      <w:proofErr w:type="spellStart"/>
      <w:r>
        <w:t>numerică</w:t>
      </w:r>
      <w:proofErr w:type="spellEnd"/>
      <w:r>
        <w:t xml:space="preserve">, agent de </w:t>
      </w:r>
      <w:proofErr w:type="spellStart"/>
      <w:r>
        <w:t>vânzări</w:t>
      </w:r>
      <w:proofErr w:type="spellEnd"/>
      <w:r>
        <w:t xml:space="preserve">, </w:t>
      </w:r>
      <w:proofErr w:type="spellStart"/>
      <w:r>
        <w:t>asistent</w:t>
      </w:r>
      <w:proofErr w:type="spellEnd"/>
      <w:r>
        <w:t xml:space="preserve"> medical, </w:t>
      </w:r>
      <w:proofErr w:type="spellStart"/>
      <w:r>
        <w:t>șofer</w:t>
      </w:r>
      <w:proofErr w:type="spellEnd"/>
      <w:r>
        <w:t xml:space="preserve">, </w:t>
      </w:r>
      <w:proofErr w:type="spellStart"/>
      <w:r>
        <w:t>gestionar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lucrător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necalificate</w:t>
      </w:r>
      <w:proofErr w:type="spellEnd"/>
      <w:r>
        <w:t xml:space="preserve">, </w:t>
      </w:r>
      <w:proofErr w:type="spellStart"/>
      <w:r>
        <w:t>ofertele</w:t>
      </w:r>
      <w:proofErr w:type="spellEnd"/>
      <w:r>
        <w:t xml:space="preserve"> se </w:t>
      </w:r>
      <w:proofErr w:type="spellStart"/>
      <w:r>
        <w:t>concentrau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producție</w:t>
      </w:r>
      <w:proofErr w:type="spellEnd"/>
      <w:r>
        <w:t xml:space="preserve">, </w:t>
      </w:r>
      <w:proofErr w:type="spellStart"/>
      <w:r>
        <w:t>curățenie</w:t>
      </w:r>
      <w:proofErr w:type="spellEnd"/>
      <w:r>
        <w:t xml:space="preserve">, </w:t>
      </w:r>
      <w:proofErr w:type="spellStart"/>
      <w:r>
        <w:t>agricultură</w:t>
      </w:r>
      <w:proofErr w:type="spellEnd"/>
      <w:r>
        <w:t xml:space="preserve">, transport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0A3026FC" w14:textId="77777777" w:rsidR="00B57A6D" w:rsidRDefault="00000000">
      <w:pPr>
        <w:spacing w:after="160" w:line="360" w:lineRule="auto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distribuție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luminează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persistenței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doljean</w:t>
      </w:r>
      <w:proofErr w:type="spellEnd"/>
      <w:r>
        <w:t xml:space="preserve">.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cer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,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covârșitoare</w:t>
      </w:r>
      <w:proofErr w:type="spellEnd"/>
      <w:r>
        <w:t xml:space="preserve"> a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au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. </w:t>
      </w:r>
      <w:proofErr w:type="spellStart"/>
      <w:r>
        <w:t>Există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o </w:t>
      </w:r>
      <w:proofErr w:type="spellStart"/>
      <w:r>
        <w:t>nepotrivire</w:t>
      </w:r>
      <w:proofErr w:type="spellEnd"/>
      <w:r>
        <w:t xml:space="preserve"> de fond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angajatorii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</w:t>
      </w:r>
      <w:proofErr w:type="spellEnd"/>
      <w:r>
        <w:t xml:space="preserve">. Cele 190 de </w:t>
      </w:r>
      <w:proofErr w:type="spellStart"/>
      <w:r>
        <w:t>posturi</w:t>
      </w:r>
      <w:proofErr w:type="spellEnd"/>
      <w:r>
        <w:t xml:space="preserve"> pot </w:t>
      </w:r>
      <w:proofErr w:type="spellStart"/>
      <w:r>
        <w:t>părea</w:t>
      </w:r>
      <w:proofErr w:type="spellEnd"/>
      <w:r>
        <w:t xml:space="preserve"> </w:t>
      </w:r>
      <w:proofErr w:type="spellStart"/>
      <w:r>
        <w:t>puține</w:t>
      </w:r>
      <w:proofErr w:type="spellEnd"/>
      <w:r>
        <w:t xml:space="preserve"> </w:t>
      </w:r>
      <w:proofErr w:type="spellStart"/>
      <w:r>
        <w:t>raportat</w:t>
      </w:r>
      <w:proofErr w:type="spellEnd"/>
      <w:r>
        <w:t xml:space="preserve"> la </w:t>
      </w:r>
      <w:proofErr w:type="spellStart"/>
      <w:r>
        <w:t>cei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20.000 de </w:t>
      </w:r>
      <w:proofErr w:type="spellStart"/>
      <w:r>
        <w:t>șomeri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, nu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de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acoperită</w:t>
      </w:r>
      <w:proofErr w:type="spellEnd"/>
      <w:r>
        <w:t xml:space="preserve"> direct de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canale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.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, </w:t>
      </w:r>
      <w:proofErr w:type="spellStart"/>
      <w:r>
        <w:t>dezechilibrul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evident.</w:t>
      </w:r>
    </w:p>
    <w:p w14:paraId="74543C54" w14:textId="77777777" w:rsidR="00B57A6D" w:rsidRDefault="00000000">
      <w:pPr>
        <w:spacing w:after="160" w:line="360" w:lineRule="auto"/>
        <w:jc w:val="both"/>
      </w:pPr>
      <w:proofErr w:type="spellStart"/>
      <w:r>
        <w:t>Dimensiunea</w:t>
      </w:r>
      <w:proofErr w:type="spellEnd"/>
      <w:r>
        <w:t xml:space="preserve"> </w:t>
      </w:r>
      <w:proofErr w:type="spellStart"/>
      <w:r>
        <w:t>dependenței</w:t>
      </w:r>
      <w:proofErr w:type="spellEnd"/>
      <w:r>
        <w:t xml:space="preserve"> de </w:t>
      </w:r>
      <w:proofErr w:type="spellStart"/>
      <w:r>
        <w:t>transferurile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Dolj, </w:t>
      </w:r>
      <w:proofErr w:type="spellStart"/>
      <w:r>
        <w:t>oferă</w:t>
      </w:r>
      <w:proofErr w:type="spellEnd"/>
      <w:r>
        <w:t xml:space="preserve"> o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indirectă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elocventă</w:t>
      </w:r>
      <w:proofErr w:type="spellEnd"/>
      <w:r>
        <w:t xml:space="preserve">, a </w:t>
      </w:r>
      <w:proofErr w:type="spellStart"/>
      <w:r>
        <w:t>fragilității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2026,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Inspecție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Dolj a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plăți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76,73 </w:t>
      </w:r>
      <w:proofErr w:type="spellStart"/>
      <w:r>
        <w:t>milioane</w:t>
      </w:r>
      <w:proofErr w:type="spellEnd"/>
      <w:r>
        <w:t xml:space="preserve"> de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beneficii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la care s-au </w:t>
      </w:r>
      <w:proofErr w:type="spellStart"/>
      <w:r>
        <w:t>adăugat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ajutorul</w:t>
      </w:r>
      <w:proofErr w:type="spellEnd"/>
      <w:r>
        <w:t xml:space="preserve"> de </w:t>
      </w:r>
      <w:proofErr w:type="spellStart"/>
      <w:r>
        <w:t>încălzire</w:t>
      </w:r>
      <w:proofErr w:type="spellEnd"/>
      <w:r>
        <w:t xml:space="preserve"> a </w:t>
      </w:r>
      <w:proofErr w:type="spellStart"/>
      <w:r>
        <w:t>locuinței</w:t>
      </w:r>
      <w:proofErr w:type="spellEnd"/>
      <w:r>
        <w:t xml:space="preserve">. (ibidem)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asistența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direct </w:t>
      </w:r>
      <w:proofErr w:type="spellStart"/>
      <w:r>
        <w:t>ocuparea</w:t>
      </w:r>
      <w:proofErr w:type="spellEnd"/>
      <w:r>
        <w:t xml:space="preserve">, </w:t>
      </w:r>
      <w:proofErr w:type="spellStart"/>
      <w:r>
        <w:t>descriu</w:t>
      </w:r>
      <w:proofErr w:type="spellEnd"/>
      <w:r>
        <w:t xml:space="preserve"> o </w:t>
      </w:r>
      <w:proofErr w:type="spellStart"/>
      <w:r>
        <w:t>populație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a </w:t>
      </w:r>
      <w:proofErr w:type="spellStart"/>
      <w:r>
        <w:t>gospodăriilor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acoperi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.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județ</w:t>
      </w:r>
      <w:proofErr w:type="spellEnd"/>
      <w:r>
        <w:t xml:space="preserve"> cu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douăzeci</w:t>
      </w:r>
      <w:proofErr w:type="spellEnd"/>
      <w:r>
        <w:t xml:space="preserve"> de mii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o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, </w:t>
      </w:r>
      <w:proofErr w:type="spellStart"/>
      <w:r>
        <w:t>transferurile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ca o </w:t>
      </w:r>
      <w:proofErr w:type="spellStart"/>
      <w:r>
        <w:t>plasă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care </w:t>
      </w:r>
      <w:proofErr w:type="spellStart"/>
      <w:r>
        <w:t>înlocuiește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măsură</w:t>
      </w:r>
      <w:proofErr w:type="spellEnd"/>
      <w:r>
        <w:t xml:space="preserve">, </w:t>
      </w:r>
      <w:proofErr w:type="spellStart"/>
      <w:r>
        <w:t>veniturile</w:t>
      </w:r>
      <w:proofErr w:type="spellEnd"/>
      <w:r>
        <w:t xml:space="preserve"> din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absente</w:t>
      </w:r>
      <w:proofErr w:type="spellEnd"/>
      <w:r>
        <w:t>.</w:t>
      </w:r>
    </w:p>
    <w:p w14:paraId="5E9B57DA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pe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a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doljeni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tiparul</w:t>
      </w:r>
      <w:proofErr w:type="spellEnd"/>
      <w:r>
        <w:t xml:space="preserve"> regional, cu o </w:t>
      </w:r>
      <w:proofErr w:type="spellStart"/>
      <w:r>
        <w:t>concentrare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segmentul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cel de 40–49 de ani. </w:t>
      </w:r>
      <w:proofErr w:type="spellStart"/>
      <w:r>
        <w:t>Tinerii</w:t>
      </w:r>
      <w:proofErr w:type="spellEnd"/>
      <w:r>
        <w:t xml:space="preserve"> sub 25 de ani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 numeric, </w:t>
      </w:r>
      <w:proofErr w:type="spellStart"/>
      <w:r>
        <w:t>dar</w:t>
      </w:r>
      <w:proofErr w:type="spellEnd"/>
      <w:r>
        <w:t xml:space="preserve"> rata lor de </w:t>
      </w:r>
      <w:proofErr w:type="spellStart"/>
      <w:r>
        <w:t>șomaj</w:t>
      </w:r>
      <w:proofErr w:type="spellEnd"/>
      <w:r>
        <w:t xml:space="preserve"> </w:t>
      </w:r>
      <w:proofErr w:type="spellStart"/>
      <w:r>
        <w:t>raportată</w:t>
      </w:r>
      <w:proofErr w:type="spellEnd"/>
      <w:r>
        <w:t xml:space="preserve"> la </w:t>
      </w:r>
      <w:proofErr w:type="spellStart"/>
      <w:r>
        <w:t>populația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din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grupă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. O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tineresc</w:t>
      </w:r>
      <w:proofErr w:type="spellEnd"/>
      <w:r>
        <w:t xml:space="preserve"> din Dolj </w:t>
      </w:r>
      <w:proofErr w:type="spellStart"/>
      <w:r>
        <w:t>este</w:t>
      </w:r>
      <w:proofErr w:type="spellEnd"/>
      <w:r>
        <w:t xml:space="preserve">, de </w:t>
      </w:r>
      <w:proofErr w:type="spellStart"/>
      <w:r>
        <w:t>altfel</w:t>
      </w:r>
      <w:proofErr w:type="spellEnd"/>
      <w:r>
        <w:t xml:space="preserve">, </w:t>
      </w:r>
      <w:proofErr w:type="spellStart"/>
      <w:r>
        <w:t>mascată</w:t>
      </w:r>
      <w:proofErr w:type="spellEnd"/>
      <w:r>
        <w:t xml:space="preserve"> de </w:t>
      </w:r>
      <w:proofErr w:type="spellStart"/>
      <w:r>
        <w:t>migrație</w:t>
      </w:r>
      <w:proofErr w:type="spellEnd"/>
      <w:r>
        <w:t xml:space="preserve">: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aleg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plece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apar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r>
        <w:lastRenderedPageBreak/>
        <w:t xml:space="preserve">locale.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fenomen</w:t>
      </w:r>
      <w:proofErr w:type="spellEnd"/>
      <w:r>
        <w:t xml:space="preserve"> </w:t>
      </w:r>
      <w:proofErr w:type="spellStart"/>
      <w:r>
        <w:t>subestimează</w:t>
      </w:r>
      <w:proofErr w:type="spellEnd"/>
      <w:r>
        <w:t xml:space="preserve"> </w:t>
      </w:r>
      <w:proofErr w:type="spellStart"/>
      <w:r>
        <w:t>amploarea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a </w:t>
      </w:r>
      <w:proofErr w:type="spellStart"/>
      <w:r>
        <w:t>dificultăților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a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doljeni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08863146" w14:textId="77777777" w:rsidR="00B57A6D" w:rsidRDefault="00000000">
      <w:pPr>
        <w:spacing w:after="160" w:line="360" w:lineRule="auto"/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,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doljene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2026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</w:t>
      </w:r>
      <w:proofErr w:type="spellStart"/>
      <w:r>
        <w:t>doi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opuși</w:t>
      </w:r>
      <w:proofErr w:type="spellEnd"/>
      <w:r>
        <w:t xml:space="preserve">.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investițiile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record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infrastructură</w:t>
      </w:r>
      <w:proofErr w:type="spellEnd"/>
      <w:r>
        <w:t xml:space="preserve"> din </w:t>
      </w:r>
      <w:proofErr w:type="spellStart"/>
      <w:r>
        <w:t>zonă</w:t>
      </w:r>
      <w:proofErr w:type="spellEnd"/>
      <w:r>
        <w:t xml:space="preserve">, </w:t>
      </w:r>
      <w:proofErr w:type="spellStart"/>
      <w:r>
        <w:t>printre</w:t>
      </w:r>
      <w:proofErr w:type="spellEnd"/>
      <w:r>
        <w:t xml:space="preserve"> care </w:t>
      </w:r>
      <w:proofErr w:type="spellStart"/>
      <w:r>
        <w:t>segmente</w:t>
      </w:r>
      <w:proofErr w:type="spellEnd"/>
      <w:r>
        <w:t xml:space="preserve"> de drum </w:t>
      </w:r>
      <w:proofErr w:type="spellStart"/>
      <w:r>
        <w:t>expres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genera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.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care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 de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stat,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un </w:t>
      </w:r>
      <w:proofErr w:type="spellStart"/>
      <w:r>
        <w:t>județ</w:t>
      </w:r>
      <w:proofErr w:type="spellEnd"/>
      <w:r>
        <w:t xml:space="preserve"> cu un sector public </w:t>
      </w:r>
      <w:proofErr w:type="spellStart"/>
      <w:r>
        <w:t>relativ</w:t>
      </w:r>
      <w:proofErr w:type="spellEnd"/>
      <w:r>
        <w:t xml:space="preserve"> important, cum </w:t>
      </w:r>
      <w:proofErr w:type="spellStart"/>
      <w:r>
        <w:t>este</w:t>
      </w:r>
      <w:proofErr w:type="spellEnd"/>
      <w:r>
        <w:t xml:space="preserve"> Dolj.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informației</w:t>
      </w:r>
      <w:proofErr w:type="spellEnd"/>
      <w:r>
        <w:t xml:space="preserve"> din Craiova,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,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sursă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cu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adăugată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mare, </w:t>
      </w:r>
      <w:proofErr w:type="spellStart"/>
      <w:r>
        <w:t>dar</w:t>
      </w:r>
      <w:proofErr w:type="spellEnd"/>
      <w:r>
        <w:t xml:space="preserve"> el </w:t>
      </w:r>
      <w:proofErr w:type="spellStart"/>
      <w:r>
        <w:t>absoarbe</w:t>
      </w:r>
      <w:proofErr w:type="spellEnd"/>
      <w:r>
        <w:t xml:space="preserve"> </w:t>
      </w:r>
      <w:proofErr w:type="spellStart"/>
      <w:r>
        <w:t>forță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înalt</w:t>
      </w:r>
      <w:proofErr w:type="spellEnd"/>
      <w:r>
        <w:t xml:space="preserve"> </w:t>
      </w:r>
      <w:proofErr w:type="spellStart"/>
      <w:r>
        <w:t>calificată</w:t>
      </w:r>
      <w:proofErr w:type="spellEnd"/>
      <w:r>
        <w:t xml:space="preserve">, nu pe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>.</w:t>
      </w:r>
    </w:p>
    <w:p w14:paraId="1F1CED33" w14:textId="08B786A6" w:rsidR="00B57A6D" w:rsidRDefault="00B57A6D">
      <w:pPr>
        <w:pageBreakBefore/>
        <w:spacing w:after="220"/>
      </w:pPr>
    </w:p>
    <w:p w14:paraId="33C47BCB" w14:textId="77777777" w:rsidR="00B57A6D" w:rsidRDefault="00000000">
      <w:pPr>
        <w:pStyle w:val="Heading1"/>
      </w:pPr>
      <w:bookmarkStart w:id="7" w:name="_Toc232697842"/>
      <w:r>
        <w:t xml:space="preserve">6. </w:t>
      </w:r>
      <w:proofErr w:type="spellStart"/>
      <w:r>
        <w:t>Județul</w:t>
      </w:r>
      <w:proofErr w:type="spellEnd"/>
      <w:r>
        <w:t xml:space="preserve"> Mehedinți</w:t>
      </w:r>
      <w:bookmarkEnd w:id="7"/>
    </w:p>
    <w:p w14:paraId="13CDF26A" w14:textId="77777777" w:rsidR="00B57A6D" w:rsidRDefault="00000000">
      <w:pPr>
        <w:spacing w:after="160" w:line="360" w:lineRule="auto"/>
        <w:jc w:val="both"/>
      </w:pPr>
      <w:proofErr w:type="spellStart"/>
      <w:r>
        <w:t>Mehedinți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care,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imagine </w:t>
      </w:r>
      <w:proofErr w:type="gramStart"/>
      <w:r>
        <w:t>a</w:t>
      </w:r>
      <w:proofErr w:type="gramEnd"/>
      <w:r>
        <w:t xml:space="preserve"> </w:t>
      </w:r>
      <w:proofErr w:type="spellStart"/>
      <w:r>
        <w:t>evoluției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 a </w:t>
      </w:r>
      <w:proofErr w:type="spellStart"/>
      <w:r>
        <w:t>comunicat</w:t>
      </w:r>
      <w:proofErr w:type="spellEnd"/>
      <w:r>
        <w:t xml:space="preserve"> date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.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era de 8,78%,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martie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fusese</w:t>
      </w:r>
      <w:proofErr w:type="spellEnd"/>
      <w:r>
        <w:t xml:space="preserve"> de 8,69%. (AJOFM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11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AJOFM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figurau</w:t>
      </w:r>
      <w:proofErr w:type="spellEnd"/>
      <w:r>
        <w:t xml:space="preserve"> 7.448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3.373 </w:t>
      </w:r>
      <w:proofErr w:type="spellStart"/>
      <w:r>
        <w:t>femei</w:t>
      </w:r>
      <w:proofErr w:type="spellEnd"/>
      <w:r>
        <w:t xml:space="preserve">. Doar 1.165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beneficiau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6.283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neindemnizate</w:t>
      </w:r>
      <w:proofErr w:type="spellEnd"/>
      <w:r>
        <w:t xml:space="preserve">. Cele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, ca de </w:t>
      </w:r>
      <w:proofErr w:type="spellStart"/>
      <w:r>
        <w:t>obicei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40 </w:t>
      </w:r>
      <w:proofErr w:type="spellStart"/>
      <w:r>
        <w:t>și</w:t>
      </w:r>
      <w:proofErr w:type="spellEnd"/>
      <w:r>
        <w:t xml:space="preserve"> 49 de ani,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numeroasă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era </w:t>
      </w:r>
      <w:proofErr w:type="spellStart"/>
      <w:r>
        <w:t>cea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absolvenților</w:t>
      </w:r>
      <w:proofErr w:type="spellEnd"/>
      <w:r>
        <w:t xml:space="preserve"> de </w:t>
      </w:r>
      <w:proofErr w:type="spellStart"/>
      <w:r>
        <w:t>gimnaziu</w:t>
      </w:r>
      <w:proofErr w:type="spellEnd"/>
      <w:r>
        <w:t>.</w:t>
      </w:r>
    </w:p>
    <w:p w14:paraId="5ED993EA" w14:textId="77777777" w:rsidR="00B57A6D" w:rsidRDefault="00000000">
      <w:pPr>
        <w:spacing w:after="160" w:line="360" w:lineRule="auto"/>
        <w:jc w:val="both"/>
      </w:pPr>
      <w:r>
        <w:t xml:space="preserve">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2026, </w:t>
      </w:r>
      <w:proofErr w:type="spellStart"/>
      <w:r>
        <w:t>situația</w:t>
      </w:r>
      <w:proofErr w:type="spellEnd"/>
      <w:r>
        <w:t xml:space="preserve"> s-a </w:t>
      </w:r>
      <w:proofErr w:type="spellStart"/>
      <w:r>
        <w:t>îmbunătățit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. Rata a </w:t>
      </w:r>
      <w:proofErr w:type="spellStart"/>
      <w:r>
        <w:t>coborât</w:t>
      </w:r>
      <w:proofErr w:type="spellEnd"/>
      <w:r>
        <w:t xml:space="preserve"> la 8,61%,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cu 0,17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procentuale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aprilie</w:t>
      </w:r>
      <w:proofErr w:type="spellEnd"/>
      <w:r>
        <w:t xml:space="preserve">. (AJOFM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la 7.246, </w:t>
      </w:r>
      <w:proofErr w:type="spellStart"/>
      <w:r>
        <w:t>dintre</w:t>
      </w:r>
      <w:proofErr w:type="spellEnd"/>
      <w:r>
        <w:t xml:space="preserve"> care 3.185 </w:t>
      </w:r>
      <w:proofErr w:type="spellStart"/>
      <w:r>
        <w:t>femei</w:t>
      </w:r>
      <w:proofErr w:type="spellEnd"/>
      <w:r>
        <w:t xml:space="preserve">.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 xml:space="preserve">, 1.091 </w:t>
      </w:r>
      <w:proofErr w:type="spellStart"/>
      <w:r>
        <w:t>beneficiau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6.155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. </w:t>
      </w:r>
      <w:proofErr w:type="spellStart"/>
      <w:r>
        <w:t>Scăderea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modestă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înscrie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mișcarea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de </w:t>
      </w:r>
      <w:proofErr w:type="spellStart"/>
      <w:r>
        <w:t>primăvară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poziția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clasamentul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>.</w:t>
      </w:r>
    </w:p>
    <w:p w14:paraId="5C0C55D1" w14:textId="77777777" w:rsidR="00B57A6D" w:rsidRDefault="00000000">
      <w:pPr>
        <w:spacing w:after="160" w:line="360" w:lineRule="auto"/>
        <w:jc w:val="both"/>
      </w:pPr>
      <w:proofErr w:type="spellStart"/>
      <w:r>
        <w:t>Repartiția</w:t>
      </w:r>
      <w:proofErr w:type="spellEnd"/>
      <w:r>
        <w:t xml:space="preserve"> pe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rezidență</w:t>
      </w:r>
      <w:proofErr w:type="spellEnd"/>
      <w:r>
        <w:t xml:space="preserve"> din luna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severe </w:t>
      </w:r>
      <w:proofErr w:type="spellStart"/>
      <w:r>
        <w:t>disproporții</w:t>
      </w:r>
      <w:proofErr w:type="spellEnd"/>
      <w:r>
        <w:t xml:space="preserve"> urban-rural din </w:t>
      </w:r>
      <w:proofErr w:type="spellStart"/>
      <w:r>
        <w:t>țară</w:t>
      </w:r>
      <w:proofErr w:type="spellEnd"/>
      <w:r>
        <w:t xml:space="preserve">. Din </w:t>
      </w:r>
      <w:proofErr w:type="spellStart"/>
      <w:r>
        <w:t>totalul</w:t>
      </w:r>
      <w:proofErr w:type="spellEnd"/>
      <w:r>
        <w:t xml:space="preserve"> de 7.246 de </w:t>
      </w:r>
      <w:proofErr w:type="spellStart"/>
      <w:r>
        <w:t>șomeri</w:t>
      </w:r>
      <w:proofErr w:type="spellEnd"/>
      <w:r>
        <w:t xml:space="preserve">, 6.109, </w:t>
      </w:r>
      <w:proofErr w:type="spellStart"/>
      <w:r>
        <w:t>adică</w:t>
      </w:r>
      <w:proofErr w:type="spellEnd"/>
      <w:r>
        <w:t xml:space="preserve"> 84,31%, </w:t>
      </w:r>
      <w:proofErr w:type="spellStart"/>
      <w:r>
        <w:t>proveneau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1.137 </w:t>
      </w:r>
      <w:proofErr w:type="spellStart"/>
      <w:r>
        <w:t>erau</w:t>
      </w:r>
      <w:proofErr w:type="spellEnd"/>
      <w:r>
        <w:t xml:space="preserve"> din urban.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urbane din </w:t>
      </w:r>
      <w:proofErr w:type="spellStart"/>
      <w:r>
        <w:t>Drobeta-Turnu</w:t>
      </w:r>
      <w:proofErr w:type="spellEnd"/>
      <w:r>
        <w:t xml:space="preserve"> Severin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coerent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rural al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lipsit</w:t>
      </w:r>
      <w:proofErr w:type="spellEnd"/>
      <w:r>
        <w:t xml:space="preserve"> de </w:t>
      </w:r>
      <w:proofErr w:type="spellStart"/>
      <w:r>
        <w:t>oportunități</w:t>
      </w:r>
      <w:proofErr w:type="spellEnd"/>
      <w:r>
        <w:t xml:space="preserve"> de </w:t>
      </w:r>
      <w:proofErr w:type="spellStart"/>
      <w:r>
        <w:t>angajare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. Pe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numeroși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ani, 2.169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urmați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40–49 de ani, cu 1.827,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50–55 de ani, cu 1.597.</w:t>
      </w:r>
    </w:p>
    <w:p w14:paraId="60451CA6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, </w:t>
      </w:r>
      <w:proofErr w:type="spellStart"/>
      <w:r>
        <w:t>comunicată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edificatoare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dificultatea</w:t>
      </w:r>
      <w:proofErr w:type="spellEnd"/>
      <w:r>
        <w:t xml:space="preserve"> </w:t>
      </w:r>
      <w:proofErr w:type="spellStart"/>
      <w:r>
        <w:t>recalificării</w:t>
      </w:r>
      <w:proofErr w:type="spellEnd"/>
      <w:r>
        <w:t xml:space="preserve">. Cei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, 3.115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43% din total. </w:t>
      </w:r>
      <w:proofErr w:type="spellStart"/>
      <w:r>
        <w:t>Urmau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, 1.911,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liceale</w:t>
      </w:r>
      <w:proofErr w:type="spellEnd"/>
      <w:r>
        <w:t xml:space="preserve">, 1.225,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800, </w:t>
      </w:r>
      <w:proofErr w:type="spellStart"/>
      <w:r>
        <w:t>absolvenții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superior, </w:t>
      </w:r>
      <w:proofErr w:type="spellStart"/>
      <w:r>
        <w:t>doar</w:t>
      </w:r>
      <w:proofErr w:type="spellEnd"/>
      <w:r>
        <w:t xml:space="preserve"> 129,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, 66. </w:t>
      </w:r>
      <w:proofErr w:type="spellStart"/>
      <w:r>
        <w:t>Profilarea</w:t>
      </w:r>
      <w:proofErr w:type="spellEnd"/>
      <w:r>
        <w:t xml:space="preserve"> </w:t>
      </w:r>
      <w:proofErr w:type="spellStart"/>
      <w:r>
        <w:t>ocupabilității</w:t>
      </w:r>
      <w:proofErr w:type="spellEnd"/>
      <w:r>
        <w:t xml:space="preserve">,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agenție</w:t>
      </w:r>
      <w:proofErr w:type="spellEnd"/>
      <w:r>
        <w:t xml:space="preserve">,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tablou</w:t>
      </w:r>
      <w:proofErr w:type="spellEnd"/>
      <w:r>
        <w:t xml:space="preserve">: 910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încadrate</w:t>
      </w:r>
      <w:proofErr w:type="spellEnd"/>
      <w:r>
        <w:t xml:space="preserve"> ca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4.444 ca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1.886 ca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6 ca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. </w:t>
      </w:r>
      <w:proofErr w:type="spellStart"/>
      <w:r>
        <w:t>Practic</w:t>
      </w:r>
      <w:proofErr w:type="spellEnd"/>
      <w:r>
        <w:t xml:space="preserve">, din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șapte</w:t>
      </w:r>
      <w:proofErr w:type="spellEnd"/>
      <w:r>
        <w:t xml:space="preserve"> mii de </w:t>
      </w:r>
      <w:proofErr w:type="spellStart"/>
      <w:r>
        <w:t>șomeri</w:t>
      </w:r>
      <w:proofErr w:type="spellEnd"/>
      <w:r>
        <w:t xml:space="preserve">, un </w:t>
      </w:r>
      <w:proofErr w:type="spellStart"/>
      <w:r>
        <w:t>număr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neglijabil</w:t>
      </w:r>
      <w:proofErr w:type="spellEnd"/>
      <w:r>
        <w:t xml:space="preserve"> era </w:t>
      </w:r>
      <w:proofErr w:type="spellStart"/>
      <w:r>
        <w:t>considerat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de </w:t>
      </w:r>
      <w:proofErr w:type="spellStart"/>
      <w:r>
        <w:t>integrat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5668F175" w14:textId="77777777" w:rsidR="00B57A6D" w:rsidRDefault="00000000">
      <w:pPr>
        <w:spacing w:after="80"/>
      </w:pPr>
      <w:proofErr w:type="spellStart"/>
      <w:r>
        <w:rPr>
          <w:i/>
          <w:iCs/>
          <w:sz w:val="22"/>
          <w:szCs w:val="22"/>
        </w:rPr>
        <w:lastRenderedPageBreak/>
        <w:t>Tabelul</w:t>
      </w:r>
      <w:proofErr w:type="spellEnd"/>
      <w:r>
        <w:rPr>
          <w:i/>
          <w:iCs/>
          <w:sz w:val="22"/>
          <w:szCs w:val="22"/>
        </w:rPr>
        <w:t xml:space="preserve"> 3. </w:t>
      </w:r>
      <w:proofErr w:type="spellStart"/>
      <w:r>
        <w:rPr>
          <w:i/>
          <w:iCs/>
          <w:sz w:val="22"/>
          <w:szCs w:val="22"/>
        </w:rPr>
        <w:t>Mehedinți</w:t>
      </w:r>
      <w:proofErr w:type="spellEnd"/>
      <w:r>
        <w:rPr>
          <w:i/>
          <w:iCs/>
          <w:sz w:val="22"/>
          <w:szCs w:val="22"/>
        </w:rPr>
        <w:t xml:space="preserve"> – </w:t>
      </w:r>
      <w:proofErr w:type="spellStart"/>
      <w:r>
        <w:rPr>
          <w:i/>
          <w:iCs/>
          <w:sz w:val="22"/>
          <w:szCs w:val="22"/>
        </w:rPr>
        <w:t>evoluția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principalilor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indicatori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aprilie</w:t>
      </w:r>
      <w:proofErr w:type="spellEnd"/>
      <w:r>
        <w:rPr>
          <w:i/>
          <w:iCs/>
          <w:sz w:val="22"/>
          <w:szCs w:val="22"/>
        </w:rPr>
        <w:t>–</w:t>
      </w:r>
      <w:proofErr w:type="spellStart"/>
      <w:r>
        <w:rPr>
          <w:i/>
          <w:iCs/>
          <w:sz w:val="22"/>
          <w:szCs w:val="22"/>
        </w:rPr>
        <w:t>mai</w:t>
      </w:r>
      <w:proofErr w:type="spellEnd"/>
      <w:r>
        <w:rPr>
          <w:i/>
          <w:iCs/>
          <w:sz w:val="22"/>
          <w:szCs w:val="22"/>
        </w:rPr>
        <w:t xml:space="preserve">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0"/>
        <w:gridCol w:w="2800"/>
        <w:gridCol w:w="2800"/>
      </w:tblGrid>
      <w:tr w:rsidR="00B57A6D" w14:paraId="18901E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03F797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Indicator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A3E066B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30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aprilie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2026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88F0F0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31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mai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2026</w:t>
            </w:r>
          </w:p>
        </w:tc>
      </w:tr>
      <w:tr w:rsidR="00B57A6D" w14:paraId="24DB453E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BF3A821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 xml:space="preserve">Rata </w:t>
            </w:r>
            <w:proofErr w:type="spellStart"/>
            <w:r>
              <w:rPr>
                <w:color w:val="000000"/>
                <w:sz w:val="22"/>
                <w:szCs w:val="22"/>
              </w:rPr>
              <w:t>șomajului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85E92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8,78%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4F78D5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8,61%</w:t>
            </w:r>
          </w:p>
        </w:tc>
      </w:tr>
      <w:tr w:rsidR="00B57A6D" w14:paraId="33DFBB57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AFC286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color w:val="000000"/>
                <w:sz w:val="22"/>
                <w:szCs w:val="22"/>
              </w:rPr>
              <w:t>șomeri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6A6B8D6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7.448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50D8CC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7.246</w:t>
            </w:r>
          </w:p>
        </w:tc>
      </w:tr>
      <w:tr w:rsidR="00B57A6D" w14:paraId="6F006556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22BFCA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dintre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color w:val="000000"/>
                <w:sz w:val="22"/>
                <w:szCs w:val="22"/>
              </w:rPr>
              <w:t>femei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524714A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3.373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21AF39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3.185</w:t>
            </w:r>
          </w:p>
        </w:tc>
      </w:tr>
      <w:tr w:rsidR="00B57A6D" w14:paraId="71804CC6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3C80E3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Indemnizați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5296CD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1.165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1414EF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1.091</w:t>
            </w:r>
          </w:p>
        </w:tc>
      </w:tr>
      <w:tr w:rsidR="00B57A6D" w14:paraId="7C68E89F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0E3459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Neindemnizați</w:t>
            </w:r>
            <w:proofErr w:type="spellEnd"/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5FB343D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6.283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10FF64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6.155</w:t>
            </w:r>
          </w:p>
        </w:tc>
      </w:tr>
      <w:tr w:rsidR="00B57A6D" w14:paraId="634902A6" w14:textId="77777777">
        <w:tblPrEx>
          <w:tblCellMar>
            <w:top w:w="0" w:type="dxa"/>
            <w:bottom w:w="0" w:type="dxa"/>
          </w:tblCellMar>
        </w:tblPrEx>
        <w:tc>
          <w:tcPr>
            <w:tcW w:w="37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FB1173E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Pondere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șomeri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din rural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7D58C8D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—</w:t>
            </w:r>
          </w:p>
        </w:tc>
        <w:tc>
          <w:tcPr>
            <w:tcW w:w="28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67DCDB2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84,31%</w:t>
            </w:r>
          </w:p>
        </w:tc>
      </w:tr>
    </w:tbl>
    <w:p w14:paraId="02F7841C" w14:textId="77777777" w:rsidR="00B57A6D" w:rsidRDefault="00000000">
      <w:pPr>
        <w:spacing w:before="40" w:after="200"/>
        <w:jc w:val="right"/>
      </w:pPr>
      <w:r>
        <w:rPr>
          <w:i/>
          <w:iCs/>
          <w:color w:val="595959"/>
          <w:sz w:val="20"/>
          <w:szCs w:val="20"/>
        </w:rPr>
        <w:t xml:space="preserve">Sursa: AJOFM </w:t>
      </w:r>
      <w:proofErr w:type="spellStart"/>
      <w:r>
        <w:rPr>
          <w:i/>
          <w:iCs/>
          <w:color w:val="595959"/>
          <w:sz w:val="20"/>
          <w:szCs w:val="20"/>
        </w:rPr>
        <w:t>Mehedinți</w:t>
      </w:r>
      <w:proofErr w:type="spellEnd"/>
      <w:r>
        <w:rPr>
          <w:i/>
          <w:iCs/>
          <w:color w:val="595959"/>
          <w:sz w:val="20"/>
          <w:szCs w:val="20"/>
        </w:rPr>
        <w:t xml:space="preserve">, </w:t>
      </w:r>
      <w:proofErr w:type="spellStart"/>
      <w:r>
        <w:rPr>
          <w:i/>
          <w:iCs/>
          <w:color w:val="595959"/>
          <w:sz w:val="20"/>
          <w:szCs w:val="20"/>
        </w:rPr>
        <w:t>comunicate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preluate</w:t>
      </w:r>
      <w:proofErr w:type="spellEnd"/>
      <w:r>
        <w:rPr>
          <w:i/>
          <w:iCs/>
          <w:color w:val="595959"/>
          <w:sz w:val="20"/>
          <w:szCs w:val="20"/>
        </w:rPr>
        <w:t xml:space="preserve"> de Jurnalul </w:t>
      </w:r>
      <w:proofErr w:type="spellStart"/>
      <w:r>
        <w:rPr>
          <w:i/>
          <w:iCs/>
          <w:color w:val="595959"/>
          <w:sz w:val="20"/>
          <w:szCs w:val="20"/>
        </w:rPr>
        <w:t>Olteniei</w:t>
      </w:r>
      <w:proofErr w:type="spellEnd"/>
      <w:r>
        <w:rPr>
          <w:i/>
          <w:iCs/>
          <w:color w:val="595959"/>
          <w:sz w:val="20"/>
          <w:szCs w:val="20"/>
        </w:rPr>
        <w:t xml:space="preserve">, 11 </w:t>
      </w:r>
      <w:proofErr w:type="spellStart"/>
      <w:r>
        <w:rPr>
          <w:i/>
          <w:iCs/>
          <w:color w:val="595959"/>
          <w:sz w:val="20"/>
          <w:szCs w:val="20"/>
        </w:rPr>
        <w:t>mai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și</w:t>
      </w:r>
      <w:proofErr w:type="spellEnd"/>
      <w:r>
        <w:rPr>
          <w:i/>
          <w:iCs/>
          <w:color w:val="595959"/>
          <w:sz w:val="20"/>
          <w:szCs w:val="20"/>
        </w:rPr>
        <w:t xml:space="preserve"> 15 </w:t>
      </w:r>
      <w:proofErr w:type="spellStart"/>
      <w:r>
        <w:rPr>
          <w:i/>
          <w:iCs/>
          <w:color w:val="595959"/>
          <w:sz w:val="20"/>
          <w:szCs w:val="20"/>
        </w:rPr>
        <w:t>iunie</w:t>
      </w:r>
      <w:proofErr w:type="spellEnd"/>
      <w:r>
        <w:rPr>
          <w:i/>
          <w:iCs/>
          <w:color w:val="595959"/>
          <w:sz w:val="20"/>
          <w:szCs w:val="20"/>
        </w:rPr>
        <w:t xml:space="preserve"> 2026.</w:t>
      </w:r>
    </w:p>
    <w:p w14:paraId="6C93C590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angajatorii</w:t>
      </w:r>
      <w:proofErr w:type="spellEnd"/>
      <w:r>
        <w:t xml:space="preserve"> din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puneau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168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distribuite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variate. (ibidem) Cele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cablaje</w:t>
      </w:r>
      <w:proofErr w:type="spellEnd"/>
      <w:r>
        <w:t xml:space="preserve">, </w:t>
      </w:r>
      <w:proofErr w:type="spellStart"/>
      <w:r>
        <w:t>douăzeci</w:t>
      </w:r>
      <w:proofErr w:type="spellEnd"/>
      <w:r>
        <w:t xml:space="preserve"> la </w:t>
      </w:r>
      <w:proofErr w:type="spellStart"/>
      <w:r>
        <w:t>număr</w:t>
      </w:r>
      <w:proofErr w:type="spellEnd"/>
      <w:r>
        <w:t xml:space="preserve">, </w:t>
      </w:r>
      <w:proofErr w:type="spellStart"/>
      <w:r>
        <w:t>urmate</w:t>
      </w:r>
      <w:proofErr w:type="spellEnd"/>
      <w:r>
        <w:t xml:space="preserve"> de </w:t>
      </w:r>
      <w:proofErr w:type="spellStart"/>
      <w:r>
        <w:t>lăcătuși</w:t>
      </w:r>
      <w:proofErr w:type="spellEnd"/>
      <w:r>
        <w:t xml:space="preserve"> </w:t>
      </w:r>
      <w:proofErr w:type="spellStart"/>
      <w:r>
        <w:t>mecanici</w:t>
      </w:r>
      <w:proofErr w:type="spellEnd"/>
      <w:r>
        <w:t xml:space="preserve">, </w:t>
      </w:r>
      <w:proofErr w:type="spellStart"/>
      <w:r>
        <w:t>cincisprezece</w:t>
      </w:r>
      <w:proofErr w:type="spellEnd"/>
      <w:r>
        <w:t xml:space="preserve">, </w:t>
      </w:r>
      <w:proofErr w:type="spellStart"/>
      <w:r>
        <w:t>sudori</w:t>
      </w:r>
      <w:proofErr w:type="spellEnd"/>
      <w:r>
        <w:t xml:space="preserve">, </w:t>
      </w:r>
      <w:proofErr w:type="spellStart"/>
      <w:r>
        <w:t>paisprezece</w:t>
      </w:r>
      <w:proofErr w:type="spellEnd"/>
      <w:r>
        <w:t xml:space="preserve">, </w:t>
      </w:r>
      <w:proofErr w:type="spellStart"/>
      <w:r>
        <w:t>lăcătuși</w:t>
      </w:r>
      <w:proofErr w:type="spellEnd"/>
      <w:r>
        <w:t xml:space="preserve"> de </w:t>
      </w:r>
      <w:proofErr w:type="spellStart"/>
      <w:r>
        <w:t>întreținere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reparații</w:t>
      </w:r>
      <w:proofErr w:type="spellEnd"/>
      <w:r>
        <w:t xml:space="preserve">, tot </w:t>
      </w:r>
      <w:proofErr w:type="spellStart"/>
      <w:r>
        <w:t>paisprezece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electricieni</w:t>
      </w:r>
      <w:proofErr w:type="spellEnd"/>
      <w:r>
        <w:t xml:space="preserve">, </w:t>
      </w:r>
      <w:proofErr w:type="spellStart"/>
      <w:r>
        <w:t>doisprezece</w:t>
      </w:r>
      <w:proofErr w:type="spellEnd"/>
      <w:r>
        <w:t xml:space="preserve">. Industria </w:t>
      </w:r>
      <w:proofErr w:type="spellStart"/>
      <w:r>
        <w:t>navală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cerea</w:t>
      </w:r>
      <w:proofErr w:type="spellEnd"/>
      <w:r>
        <w:t xml:space="preserve"> </w:t>
      </w:r>
      <w:proofErr w:type="spellStart"/>
      <w:r>
        <w:t>zece</w:t>
      </w:r>
      <w:proofErr w:type="spellEnd"/>
      <w:r>
        <w:t xml:space="preserve"> </w:t>
      </w:r>
      <w:proofErr w:type="spellStart"/>
      <w:r>
        <w:t>lăcătuși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navale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zece</w:t>
      </w:r>
      <w:proofErr w:type="spellEnd"/>
      <w:r>
        <w:t xml:space="preserve"> </w:t>
      </w:r>
      <w:proofErr w:type="spellStart"/>
      <w:r>
        <w:t>tubulatori</w:t>
      </w:r>
      <w:proofErr w:type="spellEnd"/>
      <w:r>
        <w:t xml:space="preserve"> </w:t>
      </w:r>
      <w:proofErr w:type="spellStart"/>
      <w:r>
        <w:t>navali</w:t>
      </w:r>
      <w:proofErr w:type="spellEnd"/>
      <w:r>
        <w:t xml:space="preserve">.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cuprindea</w:t>
      </w:r>
      <w:proofErr w:type="spellEnd"/>
      <w:r>
        <w:t xml:space="preserve"> </w:t>
      </w:r>
      <w:proofErr w:type="spellStart"/>
      <w:r>
        <w:t>bucătari</w:t>
      </w:r>
      <w:proofErr w:type="spellEnd"/>
      <w:r>
        <w:t xml:space="preserve">, </w:t>
      </w:r>
      <w:proofErr w:type="spellStart"/>
      <w:r>
        <w:t>ospătari</w:t>
      </w:r>
      <w:proofErr w:type="spellEnd"/>
      <w:r>
        <w:t xml:space="preserve">, </w:t>
      </w:r>
      <w:proofErr w:type="spellStart"/>
      <w:r>
        <w:t>economiști</w:t>
      </w:r>
      <w:proofErr w:type="spellEnd"/>
      <w:r>
        <w:t xml:space="preserve">, </w:t>
      </w:r>
      <w:proofErr w:type="spellStart"/>
      <w:r>
        <w:t>ingineri</w:t>
      </w:r>
      <w:proofErr w:type="spellEnd"/>
      <w:r>
        <w:t xml:space="preserve">, </w:t>
      </w:r>
      <w:proofErr w:type="spellStart"/>
      <w:r>
        <w:t>stivuitoriști</w:t>
      </w:r>
      <w:proofErr w:type="spellEnd"/>
      <w:r>
        <w:t xml:space="preserve">, </w:t>
      </w:r>
      <w:proofErr w:type="spellStart"/>
      <w:r>
        <w:t>tehnicieni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muncitori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.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anunța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, </w:t>
      </w:r>
      <w:proofErr w:type="spellStart"/>
      <w:r>
        <w:t>înscrieri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meseriile</w:t>
      </w:r>
      <w:proofErr w:type="spellEnd"/>
      <w:r>
        <w:t xml:space="preserve"> de </w:t>
      </w:r>
      <w:proofErr w:type="spellStart"/>
      <w:r>
        <w:t>bucătar</w:t>
      </w:r>
      <w:proofErr w:type="spellEnd"/>
      <w:r>
        <w:t xml:space="preserve">, </w:t>
      </w:r>
      <w:proofErr w:type="spellStart"/>
      <w:r>
        <w:t>cofetar</w:t>
      </w:r>
      <w:proofErr w:type="spellEnd"/>
      <w:r>
        <w:t xml:space="preserve">, </w:t>
      </w:r>
      <w:proofErr w:type="spellStart"/>
      <w:r>
        <w:t>cameristă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electrician, </w:t>
      </w:r>
      <w:proofErr w:type="spellStart"/>
      <w:r>
        <w:t>urmând</w:t>
      </w:r>
      <w:proofErr w:type="spellEnd"/>
      <w:r>
        <w:t xml:space="preserve"> ca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teoretică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>.</w:t>
      </w:r>
    </w:p>
    <w:p w14:paraId="7C0F29A3" w14:textId="77777777" w:rsidR="00B57A6D" w:rsidRDefault="00000000">
      <w:pPr>
        <w:spacing w:after="160" w:line="360" w:lineRule="auto"/>
        <w:jc w:val="both"/>
      </w:pPr>
      <w:r>
        <w:t xml:space="preserve">Un aspect care </w:t>
      </w:r>
      <w:proofErr w:type="spellStart"/>
      <w:r>
        <w:t>merită</w:t>
      </w:r>
      <w:proofErr w:type="spellEnd"/>
      <w:r>
        <w:t xml:space="preserve"> </w:t>
      </w:r>
      <w:proofErr w:type="spellStart"/>
      <w:r>
        <w:t>subliniat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Mehedințiului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a </w:t>
      </w:r>
      <w:proofErr w:type="spellStart"/>
      <w:r>
        <w:t>femeilor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. Din </w:t>
      </w:r>
      <w:proofErr w:type="spellStart"/>
      <w:r>
        <w:t>cei</w:t>
      </w:r>
      <w:proofErr w:type="spellEnd"/>
      <w:r>
        <w:t xml:space="preserve"> 7.246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3.185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femei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</w:t>
      </w:r>
      <w:proofErr w:type="spellEnd"/>
      <w:r>
        <w:t xml:space="preserve"> de 44%, o </w:t>
      </w:r>
      <w:proofErr w:type="spellStart"/>
      <w:r>
        <w:t>proporție</w:t>
      </w:r>
      <w:proofErr w:type="spellEnd"/>
      <w:r>
        <w:t xml:space="preserve"> care s-a </w:t>
      </w:r>
      <w:proofErr w:type="spellStart"/>
      <w:r>
        <w:t>păstrat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neschimbată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luna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figurau</w:t>
      </w:r>
      <w:proofErr w:type="spellEnd"/>
      <w:r>
        <w:t xml:space="preserve"> 3.373 de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total de 7.448. </w:t>
      </w:r>
      <w:proofErr w:type="spellStart"/>
      <w:r>
        <w:t>Această</w:t>
      </w:r>
      <w:proofErr w:type="spellEnd"/>
      <w:r>
        <w:t xml:space="preserve"> stabilitate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dificultățile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femeilor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mehedințean</w:t>
      </w:r>
      <w:proofErr w:type="spellEnd"/>
      <w:r>
        <w:t xml:space="preserve"> nu sunt </w:t>
      </w:r>
      <w:proofErr w:type="spellStart"/>
      <w:r>
        <w:t>conjuncturale</w:t>
      </w:r>
      <w:proofErr w:type="spellEnd"/>
      <w:r>
        <w:t xml:space="preserve">, ci </w:t>
      </w:r>
      <w:proofErr w:type="spellStart"/>
      <w:r>
        <w:t>structurale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comunitățile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se </w:t>
      </w:r>
      <w:proofErr w:type="spellStart"/>
      <w:r>
        <w:t>combină</w:t>
      </w:r>
      <w:proofErr w:type="spellEnd"/>
      <w:r>
        <w:t xml:space="preserve"> </w:t>
      </w:r>
      <w:proofErr w:type="spellStart"/>
      <w:r>
        <w:t>adesea</w:t>
      </w:r>
      <w:proofErr w:type="spellEnd"/>
      <w:r>
        <w:t xml:space="preserve"> cu </w:t>
      </w:r>
      <w:proofErr w:type="spellStart"/>
      <w:r>
        <w:t>responsabilitățile</w:t>
      </w:r>
      <w:proofErr w:type="spellEnd"/>
      <w:r>
        <w:t xml:space="preserve"> </w:t>
      </w:r>
      <w:proofErr w:type="spellStart"/>
      <w:r>
        <w:t>casnice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reduce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femeilor</w:t>
      </w:r>
      <w:proofErr w:type="spellEnd"/>
      <w:r>
        <w:t xml:space="preserve"> la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prelungește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șomaj</w:t>
      </w:r>
      <w:proofErr w:type="spellEnd"/>
      <w:r>
        <w:t xml:space="preserve">. </w:t>
      </w:r>
      <w:proofErr w:type="spellStart"/>
      <w:r>
        <w:t>Posturile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, concentrate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precum </w:t>
      </w:r>
      <w:proofErr w:type="spellStart"/>
      <w:r>
        <w:t>sudura</w:t>
      </w:r>
      <w:proofErr w:type="spellEnd"/>
      <w:r>
        <w:t xml:space="preserve">, </w:t>
      </w:r>
      <w:proofErr w:type="spellStart"/>
      <w:r>
        <w:t>lăcătușeria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construcțiile</w:t>
      </w:r>
      <w:proofErr w:type="spellEnd"/>
      <w:r>
        <w:t xml:space="preserve"> </w:t>
      </w:r>
      <w:proofErr w:type="spellStart"/>
      <w:r>
        <w:t>navale</w:t>
      </w:r>
      <w:proofErr w:type="spellEnd"/>
      <w:r>
        <w:t xml:space="preserve">, sunt </w:t>
      </w:r>
      <w:proofErr w:type="spellStart"/>
      <w:r>
        <w:t>în</w:t>
      </w:r>
      <w:proofErr w:type="spellEnd"/>
      <w:r>
        <w:t xml:space="preserve"> plus </w:t>
      </w:r>
      <w:proofErr w:type="spellStart"/>
      <w:r>
        <w:t>ocupate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tradițional</w:t>
      </w:r>
      <w:proofErr w:type="spellEnd"/>
      <w:r>
        <w:t xml:space="preserve"> </w:t>
      </w:r>
      <w:proofErr w:type="spellStart"/>
      <w:r>
        <w:t>preponderent</w:t>
      </w:r>
      <w:proofErr w:type="spellEnd"/>
      <w:r>
        <w:t xml:space="preserve"> de </w:t>
      </w:r>
      <w:proofErr w:type="spellStart"/>
      <w:r>
        <w:t>bărbați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adâncește</w:t>
      </w:r>
      <w:proofErr w:type="spellEnd"/>
      <w:r>
        <w:t xml:space="preserve"> </w:t>
      </w:r>
      <w:proofErr w:type="spellStart"/>
      <w:r>
        <w:t>dezavantajul</w:t>
      </w:r>
      <w:proofErr w:type="spellEnd"/>
      <w:r>
        <w:t xml:space="preserve"> </w:t>
      </w:r>
      <w:proofErr w:type="spellStart"/>
      <w:r>
        <w:t>femeilor</w:t>
      </w:r>
      <w:proofErr w:type="spellEnd"/>
      <w:r>
        <w:t xml:space="preserve"> pe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piață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>.</w:t>
      </w:r>
    </w:p>
    <w:p w14:paraId="6CBD3A70" w14:textId="77777777" w:rsidR="00B57A6D" w:rsidRDefault="00000000">
      <w:pPr>
        <w:spacing w:after="160" w:line="360" w:lineRule="auto"/>
        <w:jc w:val="both"/>
      </w:pPr>
      <w:proofErr w:type="spellStart"/>
      <w:r>
        <w:t>Mehedinți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ilustrarea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limpede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piețe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blocate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echilibru</w:t>
      </w:r>
      <w:proofErr w:type="spellEnd"/>
      <w:r>
        <w:t xml:space="preserve"> de </w:t>
      </w:r>
      <w:proofErr w:type="spellStart"/>
      <w:r>
        <w:t>durată</w:t>
      </w:r>
      <w:proofErr w:type="spellEnd"/>
      <w:r>
        <w:t xml:space="preserve">. Economia </w:t>
      </w:r>
      <w:proofErr w:type="spellStart"/>
      <w:r>
        <w:t>județului</w:t>
      </w:r>
      <w:proofErr w:type="spellEnd"/>
      <w:r>
        <w:t xml:space="preserve"> se </w:t>
      </w:r>
      <w:proofErr w:type="spellStart"/>
      <w:r>
        <w:t>sprijină</w:t>
      </w:r>
      <w:proofErr w:type="spellEnd"/>
      <w:r>
        <w:t xml:space="preserve"> pe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repere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concentrate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Drobeta-Turnu</w:t>
      </w:r>
      <w:proofErr w:type="spellEnd"/>
      <w:r>
        <w:t xml:space="preserve"> Severin, pe </w:t>
      </w:r>
      <w:proofErr w:type="spellStart"/>
      <w:r>
        <w:t>sectorul</w:t>
      </w:r>
      <w:proofErr w:type="spellEnd"/>
      <w:r>
        <w:t xml:space="preserve"> energetic </w:t>
      </w:r>
      <w:proofErr w:type="spellStart"/>
      <w:r>
        <w:t>legat</w:t>
      </w:r>
      <w:proofErr w:type="spellEnd"/>
      <w:r>
        <w:t xml:space="preserve"> de </w:t>
      </w:r>
      <w:proofErr w:type="spellStart"/>
      <w:r>
        <w:t>hidrocentrala</w:t>
      </w:r>
      <w:proofErr w:type="spellEnd"/>
      <w:r>
        <w:t xml:space="preserve"> de la </w:t>
      </w:r>
      <w:proofErr w:type="spellStart"/>
      <w:r>
        <w:t>Porțile</w:t>
      </w:r>
      <w:proofErr w:type="spellEnd"/>
      <w:r>
        <w:t xml:space="preserve"> de </w:t>
      </w:r>
      <w:proofErr w:type="spellStart"/>
      <w:r>
        <w:t>Fier</w:t>
      </w:r>
      <w:proofErr w:type="spellEnd"/>
      <w:r>
        <w:t xml:space="preserve">, pe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pădurilor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o </w:t>
      </w:r>
      <w:proofErr w:type="spellStart"/>
      <w:r>
        <w:t>agricultură</w:t>
      </w:r>
      <w:proofErr w:type="spellEnd"/>
      <w:r>
        <w:t xml:space="preserve"> slab </w:t>
      </w:r>
      <w:proofErr w:type="spellStart"/>
      <w:r>
        <w:t>productivă</w:t>
      </w:r>
      <w:proofErr w:type="spellEnd"/>
      <w:r>
        <w:t xml:space="preserve">. </w:t>
      </w:r>
      <w:proofErr w:type="spellStart"/>
      <w:r>
        <w:t>Turismul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ciuda</w:t>
      </w:r>
      <w:proofErr w:type="spellEnd"/>
      <w:r>
        <w:t xml:space="preserve"> </w:t>
      </w:r>
      <w:proofErr w:type="spellStart"/>
      <w:r>
        <w:t>potențialului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lastRenderedPageBreak/>
        <w:t>defileul</w:t>
      </w:r>
      <w:proofErr w:type="spellEnd"/>
      <w:r>
        <w:t xml:space="preserve"> </w:t>
      </w:r>
      <w:proofErr w:type="spellStart"/>
      <w:r>
        <w:t>Dunării</w:t>
      </w:r>
      <w:proofErr w:type="spellEnd"/>
      <w:r>
        <w:t xml:space="preserve">, nu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ocupare</w:t>
      </w:r>
      <w:proofErr w:type="spellEnd"/>
      <w:r>
        <w:t xml:space="preserve"> la </w:t>
      </w:r>
      <w:proofErr w:type="spellStart"/>
      <w:r>
        <w:t>scară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. </w:t>
      </w:r>
      <w:proofErr w:type="spellStart"/>
      <w:r>
        <w:t>Podișul</w:t>
      </w:r>
      <w:proofErr w:type="spellEnd"/>
      <w:r>
        <w:t xml:space="preserve"> Mehedinți, zona </w:t>
      </w:r>
      <w:proofErr w:type="spellStart"/>
      <w:r>
        <w:t>rurală</w:t>
      </w:r>
      <w:proofErr w:type="spellEnd"/>
      <w:r>
        <w:t xml:space="preserve"> din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,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sărace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, cu </w:t>
      </w:r>
      <w:proofErr w:type="spellStart"/>
      <w:r>
        <w:t>comunități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îmbătrânite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 de </w:t>
      </w:r>
      <w:proofErr w:type="spellStart"/>
      <w:r>
        <w:t>transferurile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</w:t>
      </w:r>
      <w:proofErr w:type="spellStart"/>
      <w:r>
        <w:t>scăderea</w:t>
      </w:r>
      <w:proofErr w:type="spellEnd"/>
      <w:r>
        <w:t xml:space="preserve"> cu 0,17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procentuale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citită</w:t>
      </w:r>
      <w:proofErr w:type="spellEnd"/>
      <w:r>
        <w:t xml:space="preserve"> ca o </w:t>
      </w:r>
      <w:proofErr w:type="spellStart"/>
      <w:r>
        <w:t>respirație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, nu ca o </w:t>
      </w:r>
      <w:proofErr w:type="spellStart"/>
      <w:r>
        <w:t>schimbare</w:t>
      </w:r>
      <w:proofErr w:type="spellEnd"/>
      <w:r>
        <w:t xml:space="preserve"> de </w:t>
      </w:r>
      <w:proofErr w:type="spellStart"/>
      <w:r>
        <w:t>direcție</w:t>
      </w:r>
      <w:proofErr w:type="spellEnd"/>
      <w:r>
        <w:t>.</w:t>
      </w:r>
    </w:p>
    <w:p w14:paraId="3926C4D2" w14:textId="53B04FEA" w:rsidR="00B57A6D" w:rsidRDefault="00B57A6D" w:rsidP="009A0720">
      <w:pPr>
        <w:pageBreakBefore/>
        <w:spacing w:after="60"/>
      </w:pPr>
    </w:p>
    <w:p w14:paraId="1F597892" w14:textId="77777777" w:rsidR="00B57A6D" w:rsidRDefault="00000000">
      <w:pPr>
        <w:pStyle w:val="Heading1"/>
      </w:pPr>
      <w:bookmarkStart w:id="8" w:name="_Toc232697843"/>
      <w:r>
        <w:t xml:space="preserve">7. </w:t>
      </w:r>
      <w:proofErr w:type="spellStart"/>
      <w:r>
        <w:t>Județul</w:t>
      </w:r>
      <w:proofErr w:type="spellEnd"/>
      <w:r>
        <w:t xml:space="preserve"> Olt</w:t>
      </w:r>
      <w:bookmarkEnd w:id="8"/>
    </w:p>
    <w:p w14:paraId="46732911" w14:textId="77777777" w:rsidR="00B57A6D" w:rsidRDefault="00000000">
      <w:pPr>
        <w:spacing w:after="160" w:line="360" w:lineRule="auto"/>
        <w:jc w:val="both"/>
      </w:pPr>
      <w:r>
        <w:t xml:space="preserve">Olt se </w:t>
      </w:r>
      <w:proofErr w:type="spellStart"/>
      <w:r>
        <w:t>situează</w:t>
      </w:r>
      <w:proofErr w:type="spellEnd"/>
      <w:r>
        <w:t xml:space="preserve">, ca de </w:t>
      </w:r>
      <w:proofErr w:type="spellStart"/>
      <w:r>
        <w:t>obicei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zonă</w:t>
      </w:r>
      <w:proofErr w:type="spellEnd"/>
      <w:r>
        <w:t xml:space="preserve"> </w:t>
      </w:r>
      <w:proofErr w:type="spellStart"/>
      <w:r>
        <w:t>intermediară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, cu o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a </w:t>
      </w:r>
      <w:proofErr w:type="spellStart"/>
      <w:r>
        <w:t>județelor</w:t>
      </w:r>
      <w:proofErr w:type="spellEnd"/>
      <w:r>
        <w:t xml:space="preserve"> </w:t>
      </w:r>
      <w:proofErr w:type="spellStart"/>
      <w:r>
        <w:t>diversificate</w:t>
      </w:r>
      <w:proofErr w:type="spellEnd"/>
      <w:r>
        <w:t xml:space="preserve"> din </w:t>
      </w:r>
      <w:proofErr w:type="spellStart"/>
      <w:r>
        <w:t>nord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vecine</w:t>
      </w:r>
      <w:proofErr w:type="spellEnd"/>
      <w:r>
        <w:t xml:space="preserve">.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Olt a </w:t>
      </w:r>
      <w:proofErr w:type="spellStart"/>
      <w:r>
        <w:t>fost</w:t>
      </w:r>
      <w:proofErr w:type="spellEnd"/>
      <w:r>
        <w:t xml:space="preserve"> de 6,01%. (AJOFM Olt, </w:t>
      </w:r>
      <w:proofErr w:type="spellStart"/>
      <w:r>
        <w:t>comunicat</w:t>
      </w:r>
      <w:proofErr w:type="spellEnd"/>
      <w:r>
        <w:t xml:space="preserve"> din 29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Comparativ</w:t>
      </w:r>
      <w:proofErr w:type="spellEnd"/>
      <w:r>
        <w:t xml:space="preserve">,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fusese</w:t>
      </w:r>
      <w:proofErr w:type="spellEnd"/>
      <w:r>
        <w:t xml:space="preserve"> de 6,22%,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indică</w:t>
      </w:r>
      <w:proofErr w:type="spellEnd"/>
      <w:r>
        <w:t xml:space="preserve">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jumătăți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linie</w:t>
      </w:r>
      <w:proofErr w:type="spellEnd"/>
      <w:r>
        <w:t xml:space="preserve"> cu </w:t>
      </w:r>
      <w:proofErr w:type="spellStart"/>
      <w:r>
        <w:t>mișcarea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de </w:t>
      </w:r>
      <w:proofErr w:type="spellStart"/>
      <w:r>
        <w:t>primăvară</w:t>
      </w:r>
      <w:proofErr w:type="spellEnd"/>
      <w:r>
        <w:t xml:space="preserve">. </w:t>
      </w:r>
      <w:proofErr w:type="spellStart"/>
      <w:r>
        <w:t>Scăderea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zecimi</w:t>
      </w:r>
      <w:proofErr w:type="spellEnd"/>
      <w:r>
        <w:t xml:space="preserve"> de </w:t>
      </w:r>
      <w:proofErr w:type="spellStart"/>
      <w:r>
        <w:t>punct</w:t>
      </w:r>
      <w:proofErr w:type="spellEnd"/>
      <w:r>
        <w:t xml:space="preserve"> </w:t>
      </w:r>
      <w:proofErr w:type="spellStart"/>
      <w:r>
        <w:t>procentual</w:t>
      </w:r>
      <w:proofErr w:type="spellEnd"/>
      <w:r>
        <w:t xml:space="preserve"> nu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Olt </w:t>
      </w:r>
      <w:proofErr w:type="spellStart"/>
      <w:r>
        <w:t>urmează</w:t>
      </w:r>
      <w:proofErr w:type="spellEnd"/>
      <w:r>
        <w:t xml:space="preserve">, cu o </w:t>
      </w:r>
      <w:proofErr w:type="spellStart"/>
      <w:r>
        <w:t>anumită</w:t>
      </w:r>
      <w:proofErr w:type="spellEnd"/>
      <w:r>
        <w:t xml:space="preserve"> </w:t>
      </w:r>
      <w:proofErr w:type="spellStart"/>
      <w:r>
        <w:t>întârziere</w:t>
      </w:r>
      <w:proofErr w:type="spellEnd"/>
      <w:r>
        <w:t xml:space="preserve">, </w:t>
      </w:r>
      <w:proofErr w:type="spellStart"/>
      <w:r>
        <w:t>tendința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calde</w:t>
      </w:r>
      <w:proofErr w:type="spellEnd"/>
      <w:r>
        <w:t>.</w:t>
      </w:r>
    </w:p>
    <w:p w14:paraId="4AFB5B93" w14:textId="77777777" w:rsidR="00B57A6D" w:rsidRDefault="00000000">
      <w:pPr>
        <w:spacing w:after="160" w:line="360" w:lineRule="auto"/>
        <w:jc w:val="both"/>
      </w:pPr>
      <w:proofErr w:type="spellStart"/>
      <w:r>
        <w:t>Profilul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oltean</w:t>
      </w:r>
      <w:proofErr w:type="spellEnd"/>
      <w:r>
        <w:t xml:space="preserve"> a </w:t>
      </w:r>
      <w:proofErr w:type="spellStart"/>
      <w:r>
        <w:t>rămas</w:t>
      </w:r>
      <w:proofErr w:type="spellEnd"/>
      <w:r>
        <w:t xml:space="preserve"> constant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descrierea</w:t>
      </w:r>
      <w:proofErr w:type="spellEnd"/>
      <w:r>
        <w:t xml:space="preserve"> din </w:t>
      </w:r>
      <w:proofErr w:type="spellStart"/>
      <w:r>
        <w:t>trimestrul</w:t>
      </w:r>
      <w:proofErr w:type="spellEnd"/>
      <w:r>
        <w:t xml:space="preserve"> precedent. </w:t>
      </w:r>
      <w:proofErr w:type="spellStart"/>
      <w:r>
        <w:t>Județul</w:t>
      </w:r>
      <w:proofErr w:type="spellEnd"/>
      <w:r>
        <w:t xml:space="preserve"> se </w:t>
      </w:r>
      <w:proofErr w:type="spellStart"/>
      <w:r>
        <w:t>caracterizează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pondere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a </w:t>
      </w:r>
      <w:proofErr w:type="spellStart"/>
      <w:r>
        <w:t>șomerilor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segmentul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apropiat</w:t>
      </w:r>
      <w:proofErr w:type="spellEnd"/>
      <w:r>
        <w:t xml:space="preserve"> de </w:t>
      </w:r>
      <w:proofErr w:type="spellStart"/>
      <w:r>
        <w:t>pensionare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predominant </w:t>
      </w:r>
      <w:proofErr w:type="spellStart"/>
      <w:r>
        <w:t>gimnazial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trăsături</w:t>
      </w:r>
      <w:proofErr w:type="spellEnd"/>
      <w:r>
        <w:t xml:space="preserve"> sunt </w:t>
      </w:r>
      <w:proofErr w:type="spellStart"/>
      <w:r>
        <w:t>tipice</w:t>
      </w:r>
      <w:proofErr w:type="spellEnd"/>
      <w:r>
        <w:t xml:space="preserve"> </w:t>
      </w:r>
      <w:proofErr w:type="spellStart"/>
      <w:r>
        <w:t>județelor</w:t>
      </w:r>
      <w:proofErr w:type="spellEnd"/>
      <w:r>
        <w:t xml:space="preserve"> din </w:t>
      </w:r>
      <w:proofErr w:type="spellStart"/>
      <w:r>
        <w:t>sudul</w:t>
      </w:r>
      <w:proofErr w:type="spellEnd"/>
      <w:r>
        <w:t xml:space="preserve"> </w:t>
      </w:r>
      <w:proofErr w:type="spellStart"/>
      <w:r>
        <w:t>țării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restructurarea</w:t>
      </w:r>
      <w:proofErr w:type="spellEnd"/>
      <w:r>
        <w:t xml:space="preserve"> </w:t>
      </w:r>
      <w:proofErr w:type="spellStart"/>
      <w:r>
        <w:t>fostelor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de stat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industriei</w:t>
      </w:r>
      <w:proofErr w:type="spellEnd"/>
      <w:r>
        <w:t xml:space="preserve"> locale a </w:t>
      </w:r>
      <w:proofErr w:type="spellStart"/>
      <w:r>
        <w:t>lăsat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</w:t>
      </w:r>
      <w:proofErr w:type="spellEnd"/>
      <w:r>
        <w:t xml:space="preserve"> o </w:t>
      </w:r>
      <w:proofErr w:type="spellStart"/>
      <w:r>
        <w:t>populație</w:t>
      </w:r>
      <w:proofErr w:type="spellEnd"/>
      <w:r>
        <w:t xml:space="preserve"> care nu a </w:t>
      </w:r>
      <w:proofErr w:type="spellStart"/>
      <w:r>
        <w:t>reușit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reintegreze</w:t>
      </w:r>
      <w:proofErr w:type="spellEnd"/>
      <w:r>
        <w:t xml:space="preserve">. </w:t>
      </w:r>
      <w:proofErr w:type="spellStart"/>
      <w:r>
        <w:t>Profilarea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</w:t>
      </w:r>
      <w:proofErr w:type="spellStart"/>
      <w:r>
        <w:t>agenție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precedent, </w:t>
      </w:r>
      <w:proofErr w:type="spellStart"/>
      <w:r>
        <w:t>plasase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sferturi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nimic</w:t>
      </w:r>
      <w:proofErr w:type="spellEnd"/>
      <w:r>
        <w:t xml:space="preserve"> din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nu </w:t>
      </w:r>
      <w:proofErr w:type="spellStart"/>
      <w:r>
        <w:t>sugerează</w:t>
      </w:r>
      <w:proofErr w:type="spellEnd"/>
      <w:r>
        <w:t xml:space="preserve"> o </w:t>
      </w:r>
      <w:proofErr w:type="spellStart"/>
      <w:r>
        <w:t>îmbunătățire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>.</w:t>
      </w:r>
    </w:p>
    <w:p w14:paraId="27F4ED8C" w14:textId="77777777" w:rsidR="00B57A6D" w:rsidRDefault="00000000">
      <w:pPr>
        <w:spacing w:after="160" w:line="360" w:lineRule="auto"/>
        <w:jc w:val="both"/>
      </w:pPr>
      <w:r>
        <w:t xml:space="preserve">Economia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dominată</w:t>
      </w:r>
      <w:proofErr w:type="spellEnd"/>
      <w:r>
        <w:t xml:space="preserve"> de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prelucrătoare</w:t>
      </w:r>
      <w:proofErr w:type="spellEnd"/>
      <w:r>
        <w:t xml:space="preserve"> </w:t>
      </w:r>
      <w:proofErr w:type="spellStart"/>
      <w:r>
        <w:t>concentrată</w:t>
      </w:r>
      <w:proofErr w:type="spellEnd"/>
      <w:r>
        <w:t xml:space="preserve"> la Slatina, </w:t>
      </w:r>
      <w:proofErr w:type="spellStart"/>
      <w:r>
        <w:t>în</w:t>
      </w:r>
      <w:proofErr w:type="spellEnd"/>
      <w:r>
        <w:t xml:space="preserve"> special de </w:t>
      </w:r>
      <w:proofErr w:type="spellStart"/>
      <w:r>
        <w:t>combinatul</w:t>
      </w:r>
      <w:proofErr w:type="spellEnd"/>
      <w:r>
        <w:t xml:space="preserve"> de </w:t>
      </w:r>
      <w:proofErr w:type="spellStart"/>
      <w:r>
        <w:t>aluminiu</w:t>
      </w:r>
      <w:proofErr w:type="spellEnd"/>
      <w:r>
        <w:t xml:space="preserve">, cel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angajator</w:t>
      </w:r>
      <w:proofErr w:type="spellEnd"/>
      <w:r>
        <w:t xml:space="preserve"> industrial al </w:t>
      </w:r>
      <w:proofErr w:type="spellStart"/>
      <w:r>
        <w:t>zonei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nucleu</w:t>
      </w:r>
      <w:proofErr w:type="spellEnd"/>
      <w:r>
        <w:t xml:space="preserve"> s-au </w:t>
      </w:r>
      <w:proofErr w:type="spellStart"/>
      <w:r>
        <w:t>dezvoltat</w:t>
      </w:r>
      <w:proofErr w:type="spellEnd"/>
      <w:r>
        <w:t xml:space="preserve">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care </w:t>
      </w:r>
      <w:proofErr w:type="spellStart"/>
      <w:r>
        <w:t>mențin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rezonabil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. </w:t>
      </w:r>
      <w:proofErr w:type="spellStart"/>
      <w:r>
        <w:t>Dependența</w:t>
      </w:r>
      <w:proofErr w:type="spellEnd"/>
      <w:r>
        <w:t xml:space="preserve"> de 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 major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o </w:t>
      </w:r>
      <w:proofErr w:type="spellStart"/>
      <w:r>
        <w:t>vulnerabilitate</w:t>
      </w:r>
      <w:proofErr w:type="spellEnd"/>
      <w:r>
        <w:t xml:space="preserve">: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de </w:t>
      </w:r>
      <w:proofErr w:type="spellStart"/>
      <w:r>
        <w:t>restructurare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fluctuație</w:t>
      </w:r>
      <w:proofErr w:type="spellEnd"/>
      <w:r>
        <w:t xml:space="preserve"> a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aluminiului</w:t>
      </w:r>
      <w:proofErr w:type="spellEnd"/>
      <w:r>
        <w:t xml:space="preserve"> pe </w:t>
      </w:r>
      <w:proofErr w:type="spellStart"/>
      <w:r>
        <w:t>piețele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se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Slatinei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orașe</w:t>
      </w:r>
      <w:proofErr w:type="spellEnd"/>
      <w:r>
        <w:t xml:space="preserve"> precum Caracal, </w:t>
      </w:r>
      <w:proofErr w:type="spellStart"/>
      <w:r>
        <w:t>Corabia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Scornicești</w:t>
      </w:r>
      <w:proofErr w:type="spellEnd"/>
      <w:r>
        <w:t xml:space="preserve">,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s-</w:t>
      </w:r>
      <w:proofErr w:type="gramStart"/>
      <w:r>
        <w:t>a</w:t>
      </w:r>
      <w:proofErr w:type="gramEnd"/>
      <w:r>
        <w:t xml:space="preserve"> </w:t>
      </w:r>
      <w:proofErr w:type="spellStart"/>
      <w:r>
        <w:t>erodat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ultimele</w:t>
      </w:r>
      <w:proofErr w:type="spellEnd"/>
      <w:r>
        <w:t xml:space="preserve"> </w:t>
      </w:r>
      <w:proofErr w:type="spellStart"/>
      <w:r>
        <w:t>decenii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s-a </w:t>
      </w:r>
      <w:proofErr w:type="spellStart"/>
      <w:r>
        <w:t>redus</w:t>
      </w:r>
      <w:proofErr w:type="spellEnd"/>
      <w:r>
        <w:t xml:space="preserve"> la </w:t>
      </w:r>
      <w:proofErr w:type="spellStart"/>
      <w:r>
        <w:t>comerțul</w:t>
      </w:r>
      <w:proofErr w:type="spellEnd"/>
      <w:r>
        <w:t xml:space="preserve"> de </w:t>
      </w:r>
      <w:proofErr w:type="spellStart"/>
      <w:r>
        <w:t>proximitate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administrația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. Agricultura </w:t>
      </w:r>
      <w:proofErr w:type="spellStart"/>
      <w:r>
        <w:t>extensivă</w:t>
      </w:r>
      <w:proofErr w:type="spellEnd"/>
      <w:r>
        <w:t xml:space="preserve"> din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puține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formale</w:t>
      </w:r>
      <w:proofErr w:type="spellEnd"/>
      <w:r>
        <w:t>.</w:t>
      </w:r>
    </w:p>
    <w:p w14:paraId="7A49D0D9" w14:textId="77777777" w:rsidR="00B57A6D" w:rsidRDefault="00000000">
      <w:pPr>
        <w:spacing w:after="160" w:line="360" w:lineRule="auto"/>
        <w:jc w:val="both"/>
      </w:pPr>
      <w:proofErr w:type="spellStart"/>
      <w:r>
        <w:t>Combinatul</w:t>
      </w:r>
      <w:proofErr w:type="spellEnd"/>
      <w:r>
        <w:t xml:space="preserve"> de </w:t>
      </w:r>
      <w:proofErr w:type="spellStart"/>
      <w:r>
        <w:t>aluminiu</w:t>
      </w:r>
      <w:proofErr w:type="spellEnd"/>
      <w:r>
        <w:t xml:space="preserve"> de la Slatina </w:t>
      </w:r>
      <w:proofErr w:type="spellStart"/>
      <w:r>
        <w:t>merită</w:t>
      </w:r>
      <w:proofErr w:type="spellEnd"/>
      <w:r>
        <w:t xml:space="preserve"> o </w:t>
      </w:r>
      <w:proofErr w:type="spellStart"/>
      <w:r>
        <w:t>atenție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soarta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se </w:t>
      </w:r>
      <w:proofErr w:type="spellStart"/>
      <w:r>
        <w:t>confundă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măsură</w:t>
      </w:r>
      <w:proofErr w:type="spellEnd"/>
      <w:r>
        <w:t xml:space="preserve">, cu </w:t>
      </w:r>
      <w:proofErr w:type="spellStart"/>
      <w:r>
        <w:t>soarta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. Este </w:t>
      </w:r>
      <w:proofErr w:type="spellStart"/>
      <w:r>
        <w:t>vorba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profil</w:t>
      </w:r>
      <w:proofErr w:type="spellEnd"/>
      <w:r>
        <w:t xml:space="preserve"> din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Europei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gravitează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prestatori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lastRenderedPageBreak/>
        <w:t>industrie</w:t>
      </w:r>
      <w:proofErr w:type="spellEnd"/>
      <w:r>
        <w:t xml:space="preserve"> a </w:t>
      </w:r>
      <w:proofErr w:type="spellStart"/>
      <w:r>
        <w:t>procesării</w:t>
      </w:r>
      <w:proofErr w:type="spellEnd"/>
      <w:r>
        <w:t xml:space="preserve"> </w:t>
      </w:r>
      <w:proofErr w:type="spellStart"/>
      <w:r>
        <w:t>aluminiului</w:t>
      </w:r>
      <w:proofErr w:type="spellEnd"/>
      <w:r>
        <w:t xml:space="preserve"> care </w:t>
      </w:r>
      <w:proofErr w:type="spellStart"/>
      <w:r>
        <w:t>multiplică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dependente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de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 al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, </w:t>
      </w:r>
      <w:proofErr w:type="spellStart"/>
      <w:r>
        <w:t>esențial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producție</w:t>
      </w:r>
      <w:proofErr w:type="spellEnd"/>
      <w:r>
        <w:t xml:space="preserve"> mare </w:t>
      </w:r>
      <w:proofErr w:type="spellStart"/>
      <w:r>
        <w:t>consumatoare</w:t>
      </w:r>
      <w:proofErr w:type="spellEnd"/>
      <w:r>
        <w:t xml:space="preserve"> de </w:t>
      </w:r>
      <w:proofErr w:type="spellStart"/>
      <w:r>
        <w:t>curent</w:t>
      </w:r>
      <w:proofErr w:type="spellEnd"/>
      <w:r>
        <w:t xml:space="preserve">, a pus periodic </w:t>
      </w:r>
      <w:proofErr w:type="spellStart"/>
      <w:r>
        <w:t>presiune</w:t>
      </w:r>
      <w:proofErr w:type="spellEnd"/>
      <w:r>
        <w:t xml:space="preserve"> pe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combinatului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ani,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ajustare</w:t>
      </w:r>
      <w:proofErr w:type="spellEnd"/>
      <w:r>
        <w:t xml:space="preserve"> a </w:t>
      </w:r>
      <w:proofErr w:type="spellStart"/>
      <w:r>
        <w:t>producției</w:t>
      </w:r>
      <w:proofErr w:type="spellEnd"/>
      <w:r>
        <w:t xml:space="preserve"> se </w:t>
      </w:r>
      <w:proofErr w:type="spellStart"/>
      <w:r>
        <w:t>resimte</w:t>
      </w:r>
      <w:proofErr w:type="spellEnd"/>
      <w:r>
        <w:t xml:space="preserve"> rapid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aluminiului</w:t>
      </w:r>
      <w:proofErr w:type="spellEnd"/>
      <w:r>
        <w:t xml:space="preserve">, Slatina </w:t>
      </w:r>
      <w:proofErr w:type="spellStart"/>
      <w:r>
        <w:t>găzduiește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industrie</w:t>
      </w:r>
      <w:proofErr w:type="spellEnd"/>
      <w:r>
        <w:t xml:space="preserve"> a </w:t>
      </w:r>
      <w:proofErr w:type="spellStart"/>
      <w:r>
        <w:t>componentelor</w:t>
      </w:r>
      <w:proofErr w:type="spellEnd"/>
      <w:r>
        <w:t xml:space="preserve"> auto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anvelopelor</w:t>
      </w:r>
      <w:proofErr w:type="spellEnd"/>
      <w:r>
        <w:t xml:space="preserve">,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rețelei</w:t>
      </w:r>
      <w:proofErr w:type="spellEnd"/>
      <w:r>
        <w:t xml:space="preserve"> de </w:t>
      </w:r>
      <w:proofErr w:type="spellStart"/>
      <w:r>
        <w:t>furnizori</w:t>
      </w:r>
      <w:proofErr w:type="spellEnd"/>
      <w:r>
        <w:t xml:space="preserve"> care </w:t>
      </w:r>
      <w:proofErr w:type="spellStart"/>
      <w:r>
        <w:t>deservește</w:t>
      </w:r>
      <w:proofErr w:type="spellEnd"/>
      <w:r>
        <w:t xml:space="preserve"> </w:t>
      </w:r>
      <w:proofErr w:type="spellStart"/>
      <w:r>
        <w:t>platformele</w:t>
      </w:r>
      <w:proofErr w:type="spellEnd"/>
      <w:r>
        <w:t xml:space="preserve"> de </w:t>
      </w:r>
      <w:proofErr w:type="spellStart"/>
      <w:r>
        <w:t>producție</w:t>
      </w:r>
      <w:proofErr w:type="spellEnd"/>
      <w:r>
        <w:t xml:space="preserve"> auto din </w:t>
      </w:r>
      <w:proofErr w:type="spellStart"/>
      <w:r>
        <w:t>sudul</w:t>
      </w:r>
      <w:proofErr w:type="spellEnd"/>
      <w:r>
        <w:t xml:space="preserve"> </w:t>
      </w:r>
      <w:proofErr w:type="spellStart"/>
      <w:r>
        <w:t>țării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conferă</w:t>
      </w:r>
      <w:proofErr w:type="spellEnd"/>
      <w:r>
        <w:t xml:space="preserve"> </w:t>
      </w:r>
      <w:proofErr w:type="spellStart"/>
      <w:r>
        <w:t>orașului</w:t>
      </w:r>
      <w:proofErr w:type="spellEnd"/>
      <w:r>
        <w:t xml:space="preserve"> un </w:t>
      </w:r>
      <w:proofErr w:type="spellStart"/>
      <w:r>
        <w:t>profil</w:t>
      </w:r>
      <w:proofErr w:type="spellEnd"/>
      <w:r>
        <w:t xml:space="preserve"> industrial </w:t>
      </w:r>
      <w:proofErr w:type="spellStart"/>
      <w:r>
        <w:t>mai</w:t>
      </w:r>
      <w:proofErr w:type="spellEnd"/>
      <w:r>
        <w:t xml:space="preserve"> solid </w:t>
      </w:r>
      <w:proofErr w:type="spellStart"/>
      <w:r>
        <w:t>decât</w:t>
      </w:r>
      <w:proofErr w:type="spellEnd"/>
      <w:r>
        <w:t xml:space="preserve"> al </w:t>
      </w:r>
      <w:proofErr w:type="spellStart"/>
      <w:r>
        <w:t>celorlalte</w:t>
      </w:r>
      <w:proofErr w:type="spellEnd"/>
      <w:r>
        <w:t xml:space="preserve"> </w:t>
      </w:r>
      <w:proofErr w:type="spellStart"/>
      <w:r>
        <w:t>localități</w:t>
      </w:r>
      <w:proofErr w:type="spellEnd"/>
      <w:r>
        <w:t xml:space="preserve"> </w:t>
      </w:r>
      <w:proofErr w:type="spellStart"/>
      <w:r>
        <w:t>oltene</w:t>
      </w:r>
      <w:proofErr w:type="spellEnd"/>
      <w:r>
        <w:t>.</w:t>
      </w:r>
    </w:p>
    <w:p w14:paraId="7CDE0F7C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, </w:t>
      </w:r>
      <w:proofErr w:type="spellStart"/>
      <w:r>
        <w:t>tabloul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sumbru</w:t>
      </w:r>
      <w:proofErr w:type="spellEnd"/>
      <w:r>
        <w:t xml:space="preserve">. Caracal,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 ca </w:t>
      </w:r>
      <w:proofErr w:type="spellStart"/>
      <w:r>
        <w:t>mărime</w:t>
      </w:r>
      <w:proofErr w:type="spellEnd"/>
      <w:r>
        <w:t xml:space="preserve">, a </w:t>
      </w:r>
      <w:proofErr w:type="spellStart"/>
      <w:r>
        <w:t>pierdut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deceniile</w:t>
      </w:r>
      <w:proofErr w:type="spellEnd"/>
      <w:r>
        <w:t xml:space="preserve"> </w:t>
      </w:r>
      <w:proofErr w:type="spellStart"/>
      <w:r>
        <w:t>postindustriale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din </w:t>
      </w:r>
      <w:proofErr w:type="spellStart"/>
      <w:r>
        <w:t>unitățile</w:t>
      </w:r>
      <w:proofErr w:type="spellEnd"/>
      <w:r>
        <w:t xml:space="preserve"> sale productive,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orașele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au </w:t>
      </w:r>
      <w:proofErr w:type="spellStart"/>
      <w:r>
        <w:t>rămas</w:t>
      </w:r>
      <w:proofErr w:type="spellEnd"/>
      <w:r>
        <w:t xml:space="preserve"> cu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redusă</w:t>
      </w:r>
      <w:proofErr w:type="spellEnd"/>
      <w:r>
        <w:t xml:space="preserve"> la </w:t>
      </w:r>
      <w:proofErr w:type="spellStart"/>
      <w:r>
        <w:t>comerțul</w:t>
      </w:r>
      <w:proofErr w:type="spellEnd"/>
      <w:r>
        <w:t xml:space="preserve"> de </w:t>
      </w:r>
      <w:proofErr w:type="spellStart"/>
      <w:r>
        <w:t>proximitate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  <w:proofErr w:type="spellStart"/>
      <w:r>
        <w:t>Câmpia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care </w:t>
      </w:r>
      <w:proofErr w:type="spellStart"/>
      <w:r>
        <w:t>acoperă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suprafeței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campaniile</w:t>
      </w:r>
      <w:proofErr w:type="spellEnd"/>
      <w:r>
        <w:t xml:space="preserve"> de </w:t>
      </w:r>
      <w:proofErr w:type="spellStart"/>
      <w:r>
        <w:t>însămânțare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recoltare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puține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asimetrie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un pol industrial </w:t>
      </w:r>
      <w:proofErr w:type="spellStart"/>
      <w:r>
        <w:t>concentrat</w:t>
      </w:r>
      <w:proofErr w:type="spellEnd"/>
      <w:r>
        <w:t xml:space="preserve"> la Slatina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periferie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</w:t>
      </w:r>
      <w:proofErr w:type="spellStart"/>
      <w:r>
        <w:t>extinsă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săracă</w:t>
      </w:r>
      <w:proofErr w:type="spellEnd"/>
      <w:r>
        <w:t xml:space="preserve">, </w:t>
      </w:r>
      <w:proofErr w:type="spellStart"/>
      <w:r>
        <w:t>explică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rata </w:t>
      </w:r>
      <w:proofErr w:type="spellStart"/>
      <w:r>
        <w:t>județeană</w:t>
      </w:r>
      <w:proofErr w:type="spellEnd"/>
      <w:r>
        <w:t xml:space="preserve"> de 6,01% </w:t>
      </w:r>
      <w:proofErr w:type="spellStart"/>
      <w:r>
        <w:t>rămâne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ciuda</w:t>
      </w:r>
      <w:proofErr w:type="spellEnd"/>
      <w:r>
        <w:t xml:space="preserve"> </w:t>
      </w:r>
      <w:proofErr w:type="spellStart"/>
      <w:r>
        <w:t>ușoarei</w:t>
      </w:r>
      <w:proofErr w:type="spellEnd"/>
      <w:r>
        <w:t xml:space="preserve"> </w:t>
      </w:r>
      <w:proofErr w:type="spellStart"/>
      <w:r>
        <w:t>ameliorări</w:t>
      </w:r>
      <w:proofErr w:type="spellEnd"/>
      <w:r>
        <w:t xml:space="preserve">, cu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media </w:t>
      </w:r>
      <w:proofErr w:type="spellStart"/>
      <w:r>
        <w:t>națională</w:t>
      </w:r>
      <w:proofErr w:type="spellEnd"/>
      <w:r>
        <w:t xml:space="preserve">. </w:t>
      </w:r>
      <w:proofErr w:type="spellStart"/>
      <w:r>
        <w:t>Ameliorarea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de </w:t>
      </w:r>
      <w:proofErr w:type="spellStart"/>
      <w:r>
        <w:t>primăvară</w:t>
      </w:r>
      <w:proofErr w:type="spellEnd"/>
      <w:r>
        <w:t xml:space="preserve">, </w:t>
      </w:r>
      <w:proofErr w:type="spellStart"/>
      <w:r>
        <w:t>vizibilă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scăderea</w:t>
      </w:r>
      <w:proofErr w:type="spellEnd"/>
      <w:r>
        <w:t xml:space="preserve"> de la 6,22%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la 6,01%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muncilor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fenomen</w:t>
      </w:r>
      <w:proofErr w:type="spellEnd"/>
      <w:r>
        <w:t xml:space="preserve"> care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inversa</w:t>
      </w:r>
      <w:proofErr w:type="spellEnd"/>
      <w:r>
        <w:t xml:space="preserve">, </w:t>
      </w:r>
      <w:proofErr w:type="spellStart"/>
      <w:r>
        <w:t>previzibil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venirea</w:t>
      </w:r>
      <w:proofErr w:type="spellEnd"/>
      <w:r>
        <w:t xml:space="preserve"> </w:t>
      </w:r>
      <w:proofErr w:type="spellStart"/>
      <w:r>
        <w:t>iernii</w:t>
      </w:r>
      <w:proofErr w:type="spellEnd"/>
      <w:r>
        <w:t>.</w:t>
      </w:r>
    </w:p>
    <w:p w14:paraId="6E051595" w14:textId="77777777" w:rsidR="00B57A6D" w:rsidRDefault="00000000">
      <w:pPr>
        <w:spacing w:after="160" w:line="360" w:lineRule="auto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 nu </w:t>
      </w:r>
      <w:proofErr w:type="spellStart"/>
      <w:r>
        <w:t>comunicase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,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redactării</w:t>
      </w:r>
      <w:proofErr w:type="spellEnd"/>
      <w:r>
        <w:t xml:space="preserve">, o 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detaliată</w:t>
      </w:r>
      <w:proofErr w:type="spellEnd"/>
      <w:r>
        <w:t xml:space="preserve"> pe </w:t>
      </w:r>
      <w:proofErr w:type="spellStart"/>
      <w:r>
        <w:t>medii</w:t>
      </w:r>
      <w:proofErr w:type="spellEnd"/>
      <w:r>
        <w:t xml:space="preserve">, </w:t>
      </w:r>
      <w:proofErr w:type="spellStart"/>
      <w:r>
        <w:t>vârste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niveluri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. Rata de 6,01% din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reperul</w:t>
      </w:r>
      <w:proofErr w:type="spellEnd"/>
      <w:r>
        <w:t xml:space="preserve"> de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trimestru</w:t>
      </w:r>
      <w:proofErr w:type="spellEnd"/>
      <w:r>
        <w:t xml:space="preserve">. </w:t>
      </w:r>
      <w:proofErr w:type="spellStart"/>
      <w:r>
        <w:t>Cititorul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de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oltean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pe </w:t>
      </w:r>
      <w:proofErr w:type="spellStart"/>
      <w:r>
        <w:t>pagina</w:t>
      </w:r>
      <w:proofErr w:type="spellEnd"/>
      <w:r>
        <w:t xml:space="preserve"> AJOFM Olt, pe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publicate</w:t>
      </w:r>
      <w:proofErr w:type="spellEnd"/>
      <w:r>
        <w:t>.</w:t>
      </w:r>
    </w:p>
    <w:p w14:paraId="5419F9FA" w14:textId="4BB9EEED" w:rsidR="00B57A6D" w:rsidRDefault="00B57A6D">
      <w:pPr>
        <w:pageBreakBefore/>
        <w:spacing w:after="220"/>
      </w:pPr>
    </w:p>
    <w:p w14:paraId="0397C79D" w14:textId="77777777" w:rsidR="00B57A6D" w:rsidRDefault="00000000">
      <w:pPr>
        <w:pStyle w:val="Heading1"/>
      </w:pPr>
      <w:bookmarkStart w:id="9" w:name="_Toc232697844"/>
      <w:r>
        <w:t xml:space="preserve">8.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Vâlcea</w:t>
      </w:r>
      <w:bookmarkEnd w:id="9"/>
      <w:proofErr w:type="spellEnd"/>
    </w:p>
    <w:p w14:paraId="70D172B4" w14:textId="77777777" w:rsidR="00B57A6D" w:rsidRDefault="00000000">
      <w:pPr>
        <w:spacing w:after="160" w:line="360" w:lineRule="auto"/>
        <w:jc w:val="both"/>
      </w:pPr>
      <w:proofErr w:type="spellStart"/>
      <w:r>
        <w:t>Vâlcea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care,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a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clară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din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singurul</w:t>
      </w:r>
      <w:proofErr w:type="spellEnd"/>
      <w:r>
        <w:t xml:space="preserve"> care a </w:t>
      </w:r>
      <w:proofErr w:type="spellStart"/>
      <w:r>
        <w:t>coborât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.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urmărită</w:t>
      </w:r>
      <w:proofErr w:type="spellEnd"/>
      <w:r>
        <w:t xml:space="preserve"> </w:t>
      </w:r>
      <w:proofErr w:type="spellStart"/>
      <w:r>
        <w:t>lună</w:t>
      </w:r>
      <w:proofErr w:type="spellEnd"/>
      <w:r>
        <w:t xml:space="preserve"> de </w:t>
      </w:r>
      <w:proofErr w:type="spellStart"/>
      <w:r>
        <w:t>lună</w:t>
      </w:r>
      <w:proofErr w:type="spellEnd"/>
      <w:r>
        <w:t xml:space="preserve">.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2026, rata </w:t>
      </w:r>
      <w:proofErr w:type="spellStart"/>
      <w:r>
        <w:t>șomajului</w:t>
      </w:r>
      <w:proofErr w:type="spellEnd"/>
      <w:r>
        <w:t xml:space="preserve"> era de 3,01%, cu 4.175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2.136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2.039 </w:t>
      </w:r>
      <w:proofErr w:type="spellStart"/>
      <w:r>
        <w:t>bărbați</w:t>
      </w:r>
      <w:proofErr w:type="spellEnd"/>
      <w:r>
        <w:t xml:space="preserve">. (AJOFM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21 </w:t>
      </w:r>
      <w:proofErr w:type="spellStart"/>
      <w:r>
        <w:t>aprilie</w:t>
      </w:r>
      <w:proofErr w:type="spellEnd"/>
      <w:r>
        <w:t xml:space="preserve"> 2026)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rata a </w:t>
      </w:r>
      <w:proofErr w:type="spellStart"/>
      <w:r>
        <w:t>coborât</w:t>
      </w:r>
      <w:proofErr w:type="spellEnd"/>
      <w:r>
        <w:t xml:space="preserve"> la 2,82%,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total al </w:t>
      </w:r>
      <w:proofErr w:type="spellStart"/>
      <w:r>
        <w:t>șomerilor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la 3.921, </w:t>
      </w:r>
      <w:proofErr w:type="spellStart"/>
      <w:r>
        <w:t>dintre</w:t>
      </w:r>
      <w:proofErr w:type="spellEnd"/>
      <w:r>
        <w:t xml:space="preserve"> care 2.011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1.910 </w:t>
      </w:r>
      <w:proofErr w:type="spellStart"/>
      <w:r>
        <w:t>bărbați</w:t>
      </w:r>
      <w:proofErr w:type="spellEnd"/>
      <w:r>
        <w:t xml:space="preserve">. (AJOFM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comunicat</w:t>
      </w:r>
      <w:proofErr w:type="spellEnd"/>
      <w:r>
        <w:t xml:space="preserve"> din 25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Comparând</w:t>
      </w:r>
      <w:proofErr w:type="spellEnd"/>
      <w:r>
        <w:t xml:space="preserve"> cu </w:t>
      </w:r>
      <w:proofErr w:type="spellStart"/>
      <w:r>
        <w:t>cele</w:t>
      </w:r>
      <w:proofErr w:type="spellEnd"/>
      <w:r>
        <w:t xml:space="preserve"> 4.506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rata de 3,24% de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, se </w:t>
      </w:r>
      <w:proofErr w:type="spellStart"/>
      <w:r>
        <w:t>observă</w:t>
      </w:r>
      <w:proofErr w:type="spellEnd"/>
      <w:r>
        <w:t xml:space="preserve"> o </w:t>
      </w:r>
      <w:proofErr w:type="spellStart"/>
      <w:r>
        <w:t>reducere</w:t>
      </w:r>
      <w:proofErr w:type="spellEnd"/>
      <w:r>
        <w:t xml:space="preserve"> </w:t>
      </w:r>
      <w:proofErr w:type="spellStart"/>
      <w:r>
        <w:t>consistentă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primei</w:t>
      </w:r>
      <w:proofErr w:type="spellEnd"/>
      <w:r>
        <w:t xml:space="preserve"> </w:t>
      </w:r>
      <w:proofErr w:type="spellStart"/>
      <w:r>
        <w:t>jumătăți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>.</w:t>
      </w:r>
    </w:p>
    <w:p w14:paraId="2E2A44B9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din luna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nuanțe</w:t>
      </w:r>
      <w:proofErr w:type="spellEnd"/>
      <w:r>
        <w:t xml:space="preserve"> utile. Din </w:t>
      </w:r>
      <w:proofErr w:type="spellStart"/>
      <w:r>
        <w:t>totalul</w:t>
      </w:r>
      <w:proofErr w:type="spellEnd"/>
      <w:r>
        <w:t xml:space="preserve"> de 3.921 de </w:t>
      </w:r>
      <w:proofErr w:type="spellStart"/>
      <w:r>
        <w:t>șomeri</w:t>
      </w:r>
      <w:proofErr w:type="spellEnd"/>
      <w:r>
        <w:t xml:space="preserve">, 1.666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de </w:t>
      </w:r>
      <w:proofErr w:type="spellStart"/>
      <w:r>
        <w:t>indemnizație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14 </w:t>
      </w:r>
      <w:proofErr w:type="spellStart"/>
      <w:r>
        <w:t>absolvenți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2.255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.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indemnizați</w:t>
      </w:r>
      <w:proofErr w:type="spellEnd"/>
      <w:r>
        <w:t xml:space="preserve">, </w:t>
      </w:r>
      <w:proofErr w:type="spellStart"/>
      <w:r>
        <w:t>comparativ</w:t>
      </w:r>
      <w:proofErr w:type="spellEnd"/>
      <w:r>
        <w:t xml:space="preserve"> cu </w:t>
      </w:r>
      <w:proofErr w:type="spellStart"/>
      <w:r>
        <w:t>județele</w:t>
      </w:r>
      <w:proofErr w:type="spellEnd"/>
      <w:r>
        <w:t xml:space="preserve"> din </w:t>
      </w:r>
      <w:proofErr w:type="spellStart"/>
      <w:r>
        <w:t>sud</w:t>
      </w:r>
      <w:proofErr w:type="spellEnd"/>
      <w:r>
        <w:t xml:space="preserve">,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vâlcean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conjunctural, </w:t>
      </w:r>
      <w:proofErr w:type="spellStart"/>
      <w:r>
        <w:t>legat</w:t>
      </w:r>
      <w:proofErr w:type="spellEnd"/>
      <w:r>
        <w:t xml:space="preserve"> de </w:t>
      </w:r>
      <w:proofErr w:type="spellStart"/>
      <w:r>
        <w:t>pierderi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cronicizat</w:t>
      </w:r>
      <w:proofErr w:type="spellEnd"/>
      <w:r>
        <w:t xml:space="preserve">. Pe </w:t>
      </w:r>
      <w:proofErr w:type="spellStart"/>
      <w:r>
        <w:t>medii</w:t>
      </w:r>
      <w:proofErr w:type="spellEnd"/>
      <w:r>
        <w:t xml:space="preserve"> de </w:t>
      </w:r>
      <w:proofErr w:type="spellStart"/>
      <w:r>
        <w:t>rezidență</w:t>
      </w:r>
      <w:proofErr w:type="spellEnd"/>
      <w:r>
        <w:t xml:space="preserve">, 2.563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proveneau</w:t>
      </w:r>
      <w:proofErr w:type="spellEnd"/>
      <w:r>
        <w:t xml:space="preserve"> din rural </w:t>
      </w:r>
      <w:proofErr w:type="spellStart"/>
      <w:r>
        <w:t>și</w:t>
      </w:r>
      <w:proofErr w:type="spellEnd"/>
      <w:r>
        <w:t xml:space="preserve"> 1.358 din urban,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echilibrat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Olt. Pe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numeroși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ani, 975 de </w:t>
      </w:r>
      <w:proofErr w:type="spellStart"/>
      <w:r>
        <w:t>persoane</w:t>
      </w:r>
      <w:proofErr w:type="spellEnd"/>
      <w:r>
        <w:t xml:space="preserve">, </w:t>
      </w:r>
      <w:proofErr w:type="spellStart"/>
      <w:r>
        <w:t>urmați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40–49 de ani, cu 989,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50–55 de ani, cu 834.</w:t>
      </w:r>
    </w:p>
    <w:p w14:paraId="269B4540" w14:textId="77777777" w:rsidR="00B57A6D" w:rsidRDefault="00000000">
      <w:pPr>
        <w:spacing w:after="160" w:line="360" w:lineRule="auto"/>
        <w:jc w:val="both"/>
      </w:pPr>
      <w:proofErr w:type="spellStart"/>
      <w:r>
        <w:t>Nivelul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al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vâlceni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echilibrat</w:t>
      </w:r>
      <w:proofErr w:type="spellEnd"/>
      <w:r>
        <w:t xml:space="preserve">.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o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, 1.497, </w:t>
      </w:r>
      <w:proofErr w:type="spellStart"/>
      <w:r>
        <w:t>adică</w:t>
      </w:r>
      <w:proofErr w:type="spellEnd"/>
      <w:r>
        <w:t xml:space="preserve"> 38,18%, </w:t>
      </w:r>
      <w:proofErr w:type="spellStart"/>
      <w:r>
        <w:t>urmate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liceale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, 1.214, </w:t>
      </w:r>
      <w:proofErr w:type="spellStart"/>
      <w:r>
        <w:t>adică</w:t>
      </w:r>
      <w:proofErr w:type="spellEnd"/>
      <w:r>
        <w:t xml:space="preserve"> 30,96%, de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910, </w:t>
      </w:r>
      <w:proofErr w:type="spellStart"/>
      <w:r>
        <w:t>adică</w:t>
      </w:r>
      <w:proofErr w:type="spellEnd"/>
      <w:r>
        <w:t xml:space="preserve"> 23,21%, </w:t>
      </w:r>
      <w:proofErr w:type="spellStart"/>
      <w:r>
        <w:t>iar</w:t>
      </w:r>
      <w:proofErr w:type="spellEnd"/>
      <w:r>
        <w:t xml:space="preserve"> 300 de </w:t>
      </w:r>
      <w:proofErr w:type="spellStart"/>
      <w:r>
        <w:t>persoane</w:t>
      </w:r>
      <w:proofErr w:type="spellEnd"/>
      <w:r>
        <w:t xml:space="preserve">, 7,65%, </w:t>
      </w:r>
      <w:proofErr w:type="spellStart"/>
      <w:r>
        <w:t>aveau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. </w:t>
      </w:r>
      <w:proofErr w:type="spellStart"/>
      <w:r>
        <w:t>Profilarea</w:t>
      </w:r>
      <w:proofErr w:type="spellEnd"/>
      <w:r>
        <w:t xml:space="preserve"> </w:t>
      </w:r>
      <w:proofErr w:type="spellStart"/>
      <w:r>
        <w:t>ocupabilității</w:t>
      </w:r>
      <w:proofErr w:type="spellEnd"/>
      <w:r>
        <w:t xml:space="preserve"> </w:t>
      </w:r>
      <w:proofErr w:type="spellStart"/>
      <w:r>
        <w:t>arăta</w:t>
      </w:r>
      <w:proofErr w:type="spellEnd"/>
      <w:r>
        <w:t xml:space="preserve"> 216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1.566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1.728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411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. </w:t>
      </w:r>
      <w:proofErr w:type="spellStart"/>
      <w:r>
        <w:t>Comparativ</w:t>
      </w:r>
      <w:proofErr w:type="spellEnd"/>
      <w:r>
        <w:t xml:space="preserve"> cu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abia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considerate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411 din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diferență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, care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reușește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mențină</w:t>
      </w:r>
      <w:proofErr w:type="spellEnd"/>
      <w:r>
        <w:t xml:space="preserve"> o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scăzută</w:t>
      </w:r>
      <w:proofErr w:type="spellEnd"/>
      <w:r>
        <w:t>.</w:t>
      </w:r>
    </w:p>
    <w:p w14:paraId="2DBC6C23" w14:textId="77777777" w:rsidR="00B57A6D" w:rsidRDefault="00000000">
      <w:pPr>
        <w:spacing w:after="80"/>
      </w:pPr>
      <w:proofErr w:type="spellStart"/>
      <w:r>
        <w:rPr>
          <w:i/>
          <w:iCs/>
          <w:sz w:val="22"/>
          <w:szCs w:val="22"/>
        </w:rPr>
        <w:t>Tabelul</w:t>
      </w:r>
      <w:proofErr w:type="spellEnd"/>
      <w:r>
        <w:rPr>
          <w:i/>
          <w:iCs/>
          <w:sz w:val="22"/>
          <w:szCs w:val="22"/>
        </w:rPr>
        <w:t xml:space="preserve"> 4. </w:t>
      </w:r>
      <w:proofErr w:type="spellStart"/>
      <w:r>
        <w:rPr>
          <w:i/>
          <w:iCs/>
          <w:sz w:val="22"/>
          <w:szCs w:val="22"/>
        </w:rPr>
        <w:t>Vâlcea</w:t>
      </w:r>
      <w:proofErr w:type="spellEnd"/>
      <w:r>
        <w:rPr>
          <w:i/>
          <w:iCs/>
          <w:sz w:val="22"/>
          <w:szCs w:val="22"/>
        </w:rPr>
        <w:t xml:space="preserve"> – </w:t>
      </w:r>
      <w:proofErr w:type="spellStart"/>
      <w:r>
        <w:rPr>
          <w:i/>
          <w:iCs/>
          <w:sz w:val="22"/>
          <w:szCs w:val="22"/>
        </w:rPr>
        <w:t>evoluția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trimestrială</w:t>
      </w:r>
      <w:proofErr w:type="spellEnd"/>
      <w:r>
        <w:rPr>
          <w:i/>
          <w:iCs/>
          <w:sz w:val="22"/>
          <w:szCs w:val="22"/>
        </w:rPr>
        <w:t xml:space="preserve"> a </w:t>
      </w:r>
      <w:proofErr w:type="spellStart"/>
      <w:r>
        <w:rPr>
          <w:i/>
          <w:iCs/>
          <w:sz w:val="22"/>
          <w:szCs w:val="22"/>
        </w:rPr>
        <w:t>șomajului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ianuarie</w:t>
      </w:r>
      <w:proofErr w:type="spellEnd"/>
      <w:r>
        <w:rPr>
          <w:i/>
          <w:iCs/>
          <w:sz w:val="22"/>
          <w:szCs w:val="22"/>
        </w:rPr>
        <w:t>–</w:t>
      </w:r>
      <w:proofErr w:type="spellStart"/>
      <w:r>
        <w:rPr>
          <w:i/>
          <w:iCs/>
          <w:sz w:val="22"/>
          <w:szCs w:val="22"/>
        </w:rPr>
        <w:t>aprilie</w:t>
      </w:r>
      <w:proofErr w:type="spellEnd"/>
      <w:r>
        <w:rPr>
          <w:i/>
          <w:iCs/>
          <w:sz w:val="22"/>
          <w:szCs w:val="22"/>
        </w:rPr>
        <w:t xml:space="preserve">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0"/>
        <w:gridCol w:w="2000"/>
        <w:gridCol w:w="2100"/>
        <w:gridCol w:w="2100"/>
      </w:tblGrid>
      <w:tr w:rsidR="00B57A6D" w14:paraId="0A00B4B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08D43EC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Indicator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67379F8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31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ianuarie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71AF2A5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31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martie</w:t>
            </w:r>
            <w:proofErr w:type="spellEnd"/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FDB455C" w14:textId="77777777" w:rsidR="00B57A6D" w:rsidRDefault="00000000">
            <w:pPr>
              <w:spacing w:line="260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30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aprilie</w:t>
            </w:r>
            <w:proofErr w:type="spellEnd"/>
          </w:p>
        </w:tc>
      </w:tr>
      <w:tr w:rsidR="00B57A6D" w14:paraId="5F539C78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217F3C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 xml:space="preserve">Rata </w:t>
            </w:r>
            <w:proofErr w:type="spellStart"/>
            <w:r>
              <w:rPr>
                <w:color w:val="000000"/>
                <w:sz w:val="22"/>
                <w:szCs w:val="22"/>
              </w:rPr>
              <w:t>șomajului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81B07D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3,24%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007FA20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3,01%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137A9D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2,82%</w:t>
            </w:r>
          </w:p>
        </w:tc>
      </w:tr>
      <w:tr w:rsidR="00B57A6D" w14:paraId="7A05005B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5A693B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color w:val="000000"/>
                <w:sz w:val="22"/>
                <w:szCs w:val="22"/>
              </w:rPr>
              <w:t>șomeri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7DB172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4.506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B0D0D59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4.175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EC5EC3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3.921</w:t>
            </w:r>
          </w:p>
        </w:tc>
      </w:tr>
      <w:tr w:rsidR="00B57A6D" w14:paraId="4AB7E05B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CEB8A3D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Indemnizați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322FE4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1.804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081EBD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1.733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3428A14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1.666</w:t>
            </w:r>
          </w:p>
        </w:tc>
      </w:tr>
      <w:tr w:rsidR="00B57A6D" w14:paraId="36D8D346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26DAA7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Neindemnizați</w:t>
            </w:r>
            <w:proofErr w:type="spellEnd"/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9EF91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2.702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9C762B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2.442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123D615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2.255</w:t>
            </w:r>
          </w:p>
        </w:tc>
      </w:tr>
      <w:tr w:rsidR="00B57A6D" w14:paraId="5AF86ABE" w14:textId="77777777">
        <w:tblPrEx>
          <w:tblCellMar>
            <w:top w:w="0" w:type="dxa"/>
            <w:bottom w:w="0" w:type="dxa"/>
          </w:tblCellMar>
        </w:tblPrEx>
        <w:tc>
          <w:tcPr>
            <w:tcW w:w="31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72DF0A2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Șomeri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din rural</w:t>
            </w:r>
          </w:p>
        </w:tc>
        <w:tc>
          <w:tcPr>
            <w:tcW w:w="2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754646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3.001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615D9F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2.728</w:t>
            </w:r>
          </w:p>
        </w:tc>
        <w:tc>
          <w:tcPr>
            <w:tcW w:w="21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F57161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2.563</w:t>
            </w:r>
          </w:p>
        </w:tc>
      </w:tr>
    </w:tbl>
    <w:p w14:paraId="0723DFCE" w14:textId="77777777" w:rsidR="00B57A6D" w:rsidRDefault="00000000">
      <w:pPr>
        <w:spacing w:before="40" w:after="200"/>
        <w:jc w:val="right"/>
      </w:pPr>
      <w:r>
        <w:rPr>
          <w:i/>
          <w:iCs/>
          <w:color w:val="595959"/>
          <w:sz w:val="20"/>
          <w:szCs w:val="20"/>
        </w:rPr>
        <w:t xml:space="preserve">Sursa: AJOFM </w:t>
      </w:r>
      <w:proofErr w:type="spellStart"/>
      <w:r>
        <w:rPr>
          <w:i/>
          <w:iCs/>
          <w:color w:val="595959"/>
          <w:sz w:val="20"/>
          <w:szCs w:val="20"/>
        </w:rPr>
        <w:t>Vâlcea</w:t>
      </w:r>
      <w:proofErr w:type="spellEnd"/>
      <w:r>
        <w:rPr>
          <w:i/>
          <w:iCs/>
          <w:color w:val="595959"/>
          <w:sz w:val="20"/>
          <w:szCs w:val="20"/>
        </w:rPr>
        <w:t xml:space="preserve">, </w:t>
      </w:r>
      <w:proofErr w:type="spellStart"/>
      <w:r>
        <w:rPr>
          <w:i/>
          <w:iCs/>
          <w:color w:val="595959"/>
          <w:sz w:val="20"/>
          <w:szCs w:val="20"/>
        </w:rPr>
        <w:t>comunicate</w:t>
      </w:r>
      <w:proofErr w:type="spellEnd"/>
      <w:r>
        <w:rPr>
          <w:i/>
          <w:iCs/>
          <w:color w:val="595959"/>
          <w:sz w:val="20"/>
          <w:szCs w:val="20"/>
        </w:rPr>
        <w:t xml:space="preserve"> din </w:t>
      </w:r>
      <w:proofErr w:type="spellStart"/>
      <w:r>
        <w:rPr>
          <w:i/>
          <w:iCs/>
          <w:color w:val="595959"/>
          <w:sz w:val="20"/>
          <w:szCs w:val="20"/>
        </w:rPr>
        <w:t>aprilie</w:t>
      </w:r>
      <w:proofErr w:type="spellEnd"/>
      <w:r>
        <w:rPr>
          <w:i/>
          <w:iCs/>
          <w:color w:val="595959"/>
          <w:sz w:val="20"/>
          <w:szCs w:val="20"/>
        </w:rPr>
        <w:t>–</w:t>
      </w:r>
      <w:proofErr w:type="spellStart"/>
      <w:r>
        <w:rPr>
          <w:i/>
          <w:iCs/>
          <w:color w:val="595959"/>
          <w:sz w:val="20"/>
          <w:szCs w:val="20"/>
        </w:rPr>
        <w:t>mai</w:t>
      </w:r>
      <w:proofErr w:type="spellEnd"/>
      <w:r>
        <w:rPr>
          <w:i/>
          <w:iCs/>
          <w:color w:val="595959"/>
          <w:sz w:val="20"/>
          <w:szCs w:val="20"/>
        </w:rPr>
        <w:t xml:space="preserve"> 2026 </w:t>
      </w:r>
      <w:proofErr w:type="spellStart"/>
      <w:r>
        <w:rPr>
          <w:i/>
          <w:iCs/>
          <w:color w:val="595959"/>
          <w:sz w:val="20"/>
          <w:szCs w:val="20"/>
        </w:rPr>
        <w:t>și</w:t>
      </w:r>
      <w:proofErr w:type="spellEnd"/>
      <w:r>
        <w:rPr>
          <w:i/>
          <w:iCs/>
          <w:color w:val="595959"/>
          <w:sz w:val="20"/>
          <w:szCs w:val="20"/>
        </w:rPr>
        <w:t xml:space="preserve"> date </w:t>
      </w:r>
      <w:proofErr w:type="spellStart"/>
      <w:r>
        <w:rPr>
          <w:i/>
          <w:iCs/>
          <w:color w:val="595959"/>
          <w:sz w:val="20"/>
          <w:szCs w:val="20"/>
        </w:rPr>
        <w:t>preluate</w:t>
      </w:r>
      <w:proofErr w:type="spellEnd"/>
      <w:r>
        <w:rPr>
          <w:i/>
          <w:iCs/>
          <w:color w:val="595959"/>
          <w:sz w:val="20"/>
          <w:szCs w:val="20"/>
        </w:rPr>
        <w:t xml:space="preserve"> de Jurnalul </w:t>
      </w:r>
      <w:proofErr w:type="spellStart"/>
      <w:r>
        <w:rPr>
          <w:i/>
          <w:iCs/>
          <w:color w:val="595959"/>
          <w:sz w:val="20"/>
          <w:szCs w:val="20"/>
        </w:rPr>
        <w:t>Olteniei</w:t>
      </w:r>
      <w:proofErr w:type="spellEnd"/>
      <w:r>
        <w:rPr>
          <w:i/>
          <w:iCs/>
          <w:color w:val="595959"/>
          <w:sz w:val="20"/>
          <w:szCs w:val="20"/>
        </w:rPr>
        <w:t>.</w:t>
      </w:r>
    </w:p>
    <w:p w14:paraId="064DA114" w14:textId="77777777" w:rsidR="00B57A6D" w:rsidRDefault="00000000">
      <w:pPr>
        <w:spacing w:after="160" w:line="360" w:lineRule="auto"/>
        <w:jc w:val="both"/>
      </w:pPr>
      <w:proofErr w:type="spellStart"/>
      <w:r>
        <w:t>Explicația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performanțe</w:t>
      </w:r>
      <w:proofErr w:type="spellEnd"/>
      <w:r>
        <w:t xml:space="preserve"> relative </w:t>
      </w:r>
      <w:proofErr w:type="spellStart"/>
      <w:r>
        <w:t>ține</w:t>
      </w:r>
      <w:proofErr w:type="spellEnd"/>
      <w:r>
        <w:t xml:space="preserve"> de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economiei</w:t>
      </w:r>
      <w:proofErr w:type="spellEnd"/>
      <w:r>
        <w:t xml:space="preserve"> locale. </w:t>
      </w:r>
      <w:proofErr w:type="spellStart"/>
      <w:r>
        <w:t>Râmnicu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chimică</w:t>
      </w:r>
      <w:proofErr w:type="spellEnd"/>
      <w:r>
        <w:t xml:space="preserve">, care, </w:t>
      </w:r>
      <w:proofErr w:type="spellStart"/>
      <w:r>
        <w:t>deși</w:t>
      </w:r>
      <w:proofErr w:type="spellEnd"/>
      <w:r>
        <w:t xml:space="preserve"> a </w:t>
      </w:r>
      <w:proofErr w:type="spellStart"/>
      <w:r>
        <w:t>trecut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restructurări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, </w:t>
      </w:r>
      <w:proofErr w:type="spellStart"/>
      <w:r>
        <w:t>continuă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calificate</w:t>
      </w:r>
      <w:proofErr w:type="spellEnd"/>
      <w:r>
        <w:t xml:space="preserve">.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,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forestieră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producția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hidroelectrică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tabloul</w:t>
      </w:r>
      <w:proofErr w:type="spellEnd"/>
      <w:r>
        <w:t xml:space="preserve">. La </w:t>
      </w:r>
      <w:proofErr w:type="spellStart"/>
      <w:r>
        <w:t>acestea</w:t>
      </w:r>
      <w:proofErr w:type="spellEnd"/>
      <w:r>
        <w:t xml:space="preserve"> se </w:t>
      </w:r>
      <w:proofErr w:type="spellStart"/>
      <w:r>
        <w:t>adaugă</w:t>
      </w:r>
      <w:proofErr w:type="spellEnd"/>
      <w:r>
        <w:t xml:space="preserve"> zona </w:t>
      </w:r>
      <w:proofErr w:type="spellStart"/>
      <w:r>
        <w:t>balneoclimaterică</w:t>
      </w:r>
      <w:proofErr w:type="spellEnd"/>
      <w:r>
        <w:t xml:space="preserve"> </w:t>
      </w:r>
      <w:proofErr w:type="spellStart"/>
      <w:r>
        <w:t>Govora</w:t>
      </w:r>
      <w:proofErr w:type="spellEnd"/>
      <w:r>
        <w:t>–</w:t>
      </w:r>
      <w:proofErr w:type="spellStart"/>
      <w:r>
        <w:t>Călimănești</w:t>
      </w:r>
      <w:proofErr w:type="spellEnd"/>
      <w:r>
        <w:t>–</w:t>
      </w:r>
      <w:proofErr w:type="spellStart"/>
      <w:r>
        <w:t>Căciulata</w:t>
      </w:r>
      <w:proofErr w:type="spellEnd"/>
      <w:r>
        <w:t xml:space="preserve">, care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stațiunile</w:t>
      </w:r>
      <w:proofErr w:type="spellEnd"/>
      <w:r>
        <w:t xml:space="preserve"> din Valea </w:t>
      </w:r>
      <w:proofErr w:type="spellStart"/>
      <w:r>
        <w:t>Oltului</w:t>
      </w:r>
      <w:proofErr w:type="spellEnd"/>
      <w:r>
        <w:t xml:space="preserve">. O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înregistrată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reluării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venirea</w:t>
      </w:r>
      <w:proofErr w:type="spellEnd"/>
      <w:r>
        <w:t xml:space="preserve"> </w:t>
      </w:r>
      <w:proofErr w:type="spellStart"/>
      <w:r>
        <w:t>primăverii</w:t>
      </w:r>
      <w:proofErr w:type="spellEnd"/>
      <w:r>
        <w:t xml:space="preserve">.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dovada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variată</w:t>
      </w:r>
      <w:proofErr w:type="spellEnd"/>
      <w:r>
        <w:t xml:space="preserve"> </w:t>
      </w:r>
      <w:proofErr w:type="spellStart"/>
      <w:r>
        <w:t>reușește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absoarbă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din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regiuni</w:t>
      </w:r>
      <w:proofErr w:type="spellEnd"/>
      <w:r>
        <w:t xml:space="preserve"> </w:t>
      </w:r>
      <w:proofErr w:type="spellStart"/>
      <w:r>
        <w:t>marcate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>.</w:t>
      </w:r>
    </w:p>
    <w:p w14:paraId="6B293B6E" w14:textId="7834F542" w:rsidR="00B57A6D" w:rsidRDefault="00B57A6D">
      <w:pPr>
        <w:pageBreakBefore/>
        <w:spacing w:after="220"/>
      </w:pPr>
    </w:p>
    <w:p w14:paraId="27D9C986" w14:textId="77777777" w:rsidR="00B57A6D" w:rsidRDefault="00000000">
      <w:pPr>
        <w:pStyle w:val="Heading1"/>
      </w:pPr>
      <w:bookmarkStart w:id="10" w:name="_Toc232697845"/>
      <w:r>
        <w:t xml:space="preserve">9. </w:t>
      </w:r>
      <w:proofErr w:type="spellStart"/>
      <w:r>
        <w:t>Județul</w:t>
      </w:r>
      <w:proofErr w:type="spellEnd"/>
      <w:r>
        <w:t xml:space="preserve"> Gorj</w:t>
      </w:r>
      <w:bookmarkEnd w:id="10"/>
    </w:p>
    <w:p w14:paraId="6914D5FF" w14:textId="77777777" w:rsidR="00B57A6D" w:rsidRDefault="00000000">
      <w:pPr>
        <w:spacing w:after="160" w:line="360" w:lineRule="auto"/>
        <w:jc w:val="both"/>
      </w:pPr>
      <w:r>
        <w:t xml:space="preserve">Gorj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adus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</w:t>
      </w:r>
      <w:proofErr w:type="spellStart"/>
      <w:r>
        <w:t>schimbare</w:t>
      </w:r>
      <w:proofErr w:type="spellEnd"/>
      <w:r>
        <w:t xml:space="preserve"> de </w:t>
      </w:r>
      <w:proofErr w:type="spellStart"/>
      <w:r>
        <w:t>direcție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cauza</w:t>
      </w:r>
      <w:proofErr w:type="spellEnd"/>
      <w:r>
        <w:t xml:space="preserve"> nu </w:t>
      </w:r>
      <w:proofErr w:type="spellStart"/>
      <w:r>
        <w:t>ține</w:t>
      </w:r>
      <w:proofErr w:type="spellEnd"/>
      <w:r>
        <w:t xml:space="preserve"> de </w:t>
      </w:r>
      <w:proofErr w:type="spellStart"/>
      <w:r>
        <w:t>sezonalitate</w:t>
      </w:r>
      <w:proofErr w:type="spellEnd"/>
      <w:r>
        <w:t xml:space="preserve">, ci de o </w:t>
      </w:r>
      <w:proofErr w:type="spellStart"/>
      <w:r>
        <w:t>decizie</w:t>
      </w:r>
      <w:proofErr w:type="spellEnd"/>
      <w:r>
        <w:t xml:space="preserve"> </w:t>
      </w:r>
      <w:proofErr w:type="spellStart"/>
      <w:r>
        <w:t>punctuală</w:t>
      </w:r>
      <w:proofErr w:type="spellEnd"/>
      <w:r>
        <w:t xml:space="preserve"> cu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. </w:t>
      </w:r>
      <w:proofErr w:type="spellStart"/>
      <w:r>
        <w:t>Începând</w:t>
      </w:r>
      <w:proofErr w:type="spellEnd"/>
      <w:r>
        <w:t xml:space="preserve"> cu 1 </w:t>
      </w:r>
      <w:proofErr w:type="spellStart"/>
      <w:r>
        <w:t>aprilie</w:t>
      </w:r>
      <w:proofErr w:type="spellEnd"/>
      <w:r>
        <w:t xml:space="preserve"> 2026, </w:t>
      </w:r>
      <w:proofErr w:type="spellStart"/>
      <w:r>
        <w:t>minerii</w:t>
      </w:r>
      <w:proofErr w:type="spellEnd"/>
      <w:r>
        <w:t xml:space="preserve"> cu </w:t>
      </w:r>
      <w:proofErr w:type="spellStart"/>
      <w:r>
        <w:t>contracte</w:t>
      </w:r>
      <w:proofErr w:type="spellEnd"/>
      <w:r>
        <w:t xml:space="preserve"> pe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energetic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trimiși</w:t>
      </w:r>
      <w:proofErr w:type="spellEnd"/>
      <w:r>
        <w:t xml:space="preserve"> </w:t>
      </w:r>
      <w:proofErr w:type="spellStart"/>
      <w:r>
        <w:t>acasă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fapt</w:t>
      </w:r>
      <w:proofErr w:type="spellEnd"/>
      <w:r>
        <w:t xml:space="preserve"> a </w:t>
      </w:r>
      <w:proofErr w:type="spellStart"/>
      <w:r>
        <w:t>împins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5%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. (Radio </w:t>
      </w:r>
      <w:proofErr w:type="spellStart"/>
      <w:r>
        <w:t>Infinit</w:t>
      </w:r>
      <w:proofErr w:type="spellEnd"/>
      <w:r>
        <w:t xml:space="preserve">, 24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deosebire</w:t>
      </w:r>
      <w:proofErr w:type="spellEnd"/>
      <w:r>
        <w:t xml:space="preserve"> de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adus</w:t>
      </w:r>
      <w:proofErr w:type="spellEnd"/>
      <w:r>
        <w:t xml:space="preserve">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stagnare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Gorj </w:t>
      </w:r>
      <w:proofErr w:type="spellStart"/>
      <w:r>
        <w:t>evoluția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inversă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ilustrează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</w:t>
      </w:r>
      <w:proofErr w:type="spellStart"/>
      <w:r>
        <w:t>fragilă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 de un </w:t>
      </w:r>
      <w:proofErr w:type="spellStart"/>
      <w:r>
        <w:t>singur</w:t>
      </w:r>
      <w:proofErr w:type="spellEnd"/>
      <w:r>
        <w:t xml:space="preserve"> sector.</w:t>
      </w:r>
    </w:p>
    <w:p w14:paraId="5F6279F1" w14:textId="77777777" w:rsidR="00B57A6D" w:rsidRDefault="00000000">
      <w:pPr>
        <w:spacing w:after="160" w:line="360" w:lineRule="auto"/>
        <w:jc w:val="both"/>
      </w:pPr>
      <w:proofErr w:type="spellStart"/>
      <w:r>
        <w:t>Contextul</w:t>
      </w:r>
      <w:proofErr w:type="spellEnd"/>
      <w:r>
        <w:t xml:space="preserve"> de fond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cunoscut</w:t>
      </w:r>
      <w:proofErr w:type="spellEnd"/>
      <w:r>
        <w:t xml:space="preserve">. </w:t>
      </w:r>
      <w:proofErr w:type="spellStart"/>
      <w:r>
        <w:t>Complexul</w:t>
      </w:r>
      <w:proofErr w:type="spellEnd"/>
      <w:r>
        <w:t xml:space="preserve"> Energetic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principalul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 al </w:t>
      </w:r>
      <w:proofErr w:type="spellStart"/>
      <w:r>
        <w:t>județului</w:t>
      </w:r>
      <w:proofErr w:type="spellEnd"/>
      <w:r>
        <w:t xml:space="preserve">, </w:t>
      </w:r>
      <w:proofErr w:type="spellStart"/>
      <w:r>
        <w:t>parcurge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ani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restructurare</w:t>
      </w:r>
      <w:proofErr w:type="spellEnd"/>
      <w:r>
        <w:t xml:space="preserve"> </w:t>
      </w:r>
      <w:proofErr w:type="spellStart"/>
      <w:r>
        <w:t>legat</w:t>
      </w:r>
      <w:proofErr w:type="spellEnd"/>
      <w:r>
        <w:t xml:space="preserve"> de </w:t>
      </w:r>
      <w:proofErr w:type="spellStart"/>
      <w:r>
        <w:t>politicile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de </w:t>
      </w:r>
      <w:proofErr w:type="spellStart"/>
      <w:r>
        <w:t>decarbonizare</w:t>
      </w:r>
      <w:proofErr w:type="spellEnd"/>
      <w:r>
        <w:t xml:space="preserve">. </w:t>
      </w:r>
      <w:proofErr w:type="spellStart"/>
      <w:r>
        <w:t>Minele</w:t>
      </w:r>
      <w:proofErr w:type="spellEnd"/>
      <w:r>
        <w:t xml:space="preserve"> de </w:t>
      </w:r>
      <w:proofErr w:type="spellStart"/>
      <w:r>
        <w:t>lignit</w:t>
      </w:r>
      <w:proofErr w:type="spellEnd"/>
      <w:r>
        <w:t xml:space="preserve"> din </w:t>
      </w:r>
      <w:proofErr w:type="spellStart"/>
      <w:r>
        <w:t>bazinul</w:t>
      </w:r>
      <w:proofErr w:type="spellEnd"/>
      <w:r>
        <w:t xml:space="preserve"> </w:t>
      </w:r>
      <w:proofErr w:type="spellStart"/>
      <w:r>
        <w:t>Motru</w:t>
      </w:r>
      <w:proofErr w:type="spellEnd"/>
      <w:r>
        <w:t>–</w:t>
      </w:r>
      <w:proofErr w:type="spellStart"/>
      <w:r>
        <w:t>Rovinari</w:t>
      </w:r>
      <w:proofErr w:type="spellEnd"/>
      <w:r>
        <w:t xml:space="preserve"> sunt </w:t>
      </w:r>
      <w:proofErr w:type="spellStart"/>
      <w:r>
        <w:t>închise</w:t>
      </w:r>
      <w:proofErr w:type="spellEnd"/>
      <w:r>
        <w:t xml:space="preserve"> </w:t>
      </w:r>
      <w:proofErr w:type="spellStart"/>
      <w:r>
        <w:t>treptat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comunitățile</w:t>
      </w:r>
      <w:proofErr w:type="spellEnd"/>
      <w:r>
        <w:t xml:space="preserve"> care </w:t>
      </w:r>
      <w:proofErr w:type="spellStart"/>
      <w:r>
        <w:t>depindeau</w:t>
      </w:r>
      <w:proofErr w:type="spellEnd"/>
      <w:r>
        <w:t xml:space="preserve"> de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principala</w:t>
      </w:r>
      <w:proofErr w:type="spellEnd"/>
      <w:r>
        <w:t xml:space="preserve"> </w:t>
      </w:r>
      <w:proofErr w:type="spellStart"/>
      <w:r>
        <w:t>sursă</w:t>
      </w:r>
      <w:proofErr w:type="spellEnd"/>
      <w:r>
        <w:t xml:space="preserve"> de </w:t>
      </w:r>
      <w:proofErr w:type="spellStart"/>
      <w:r>
        <w:t>venit</w:t>
      </w:r>
      <w:proofErr w:type="spellEnd"/>
      <w:r>
        <w:t xml:space="preserve">. </w:t>
      </w:r>
      <w:proofErr w:type="spellStart"/>
      <w:r>
        <w:t>Reconversia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foștilor</w:t>
      </w:r>
      <w:proofErr w:type="spellEnd"/>
      <w:r>
        <w:t xml:space="preserve"> </w:t>
      </w:r>
      <w:proofErr w:type="spellStart"/>
      <w:r>
        <w:t>mineri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proces</w:t>
      </w:r>
      <w:proofErr w:type="spellEnd"/>
      <w:r>
        <w:t xml:space="preserve"> lent,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nu au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sunt </w:t>
      </w:r>
      <w:proofErr w:type="spellStart"/>
      <w:r>
        <w:t>dispuși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mute </w:t>
      </w:r>
      <w:proofErr w:type="spellStart"/>
      <w:r>
        <w:t>în</w:t>
      </w:r>
      <w:proofErr w:type="spellEnd"/>
      <w:r>
        <w:t xml:space="preserve"> alt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acasă</w:t>
      </w:r>
      <w:proofErr w:type="spellEnd"/>
      <w:r>
        <w:t xml:space="preserve"> a </w:t>
      </w:r>
      <w:proofErr w:type="spellStart"/>
      <w:r>
        <w:t>minerilor</w:t>
      </w:r>
      <w:proofErr w:type="spellEnd"/>
      <w:r>
        <w:t xml:space="preserve"> cu </w:t>
      </w:r>
      <w:proofErr w:type="spellStart"/>
      <w:r>
        <w:t>contracte</w:t>
      </w:r>
      <w:proofErr w:type="spellEnd"/>
      <w:r>
        <w:t xml:space="preserve"> determinate,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manifestare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imediat</w:t>
      </w:r>
      <w:proofErr w:type="spellEnd"/>
      <w:r>
        <w:t>.</w:t>
      </w:r>
    </w:p>
    <w:p w14:paraId="5FECF860" w14:textId="77777777" w:rsidR="00B57A6D" w:rsidRDefault="00000000">
      <w:pPr>
        <w:spacing w:after="160" w:line="360" w:lineRule="auto"/>
        <w:jc w:val="both"/>
      </w:pPr>
      <w:proofErr w:type="spellStart"/>
      <w:r>
        <w:t>Dimensiunea</w:t>
      </w:r>
      <w:proofErr w:type="spellEnd"/>
      <w:r>
        <w:t xml:space="preserve"> </w:t>
      </w:r>
      <w:proofErr w:type="spellStart"/>
      <w:r>
        <w:t>pierderilor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din </w:t>
      </w:r>
      <w:proofErr w:type="spellStart"/>
      <w:r>
        <w:t>ultimii</w:t>
      </w:r>
      <w:proofErr w:type="spellEnd"/>
      <w:r>
        <w:t xml:space="preserve"> ani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2023–2026, </w:t>
      </w:r>
      <w:proofErr w:type="spellStart"/>
      <w:r>
        <w:t>în</w:t>
      </w:r>
      <w:proofErr w:type="spellEnd"/>
      <w:r>
        <w:t xml:space="preserve"> Gorj s-au </w:t>
      </w:r>
      <w:proofErr w:type="spellStart"/>
      <w:r>
        <w:t>închis</w:t>
      </w:r>
      <w:proofErr w:type="spellEnd"/>
      <w:r>
        <w:t xml:space="preserve"> </w:t>
      </w:r>
      <w:proofErr w:type="spellStart"/>
      <w:r>
        <w:t>aproximativ</w:t>
      </w:r>
      <w:proofErr w:type="spellEnd"/>
      <w:r>
        <w:t xml:space="preserve"> 400 de </w:t>
      </w:r>
      <w:proofErr w:type="spellStart"/>
      <w:r>
        <w:t>firme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ele</w:t>
      </w:r>
      <w:proofErr w:type="spellEnd"/>
      <w:r>
        <w:t xml:space="preserve"> au </w:t>
      </w:r>
      <w:proofErr w:type="spellStart"/>
      <w:r>
        <w:t>dispărut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</w:t>
      </w:r>
      <w:proofErr w:type="spellEnd"/>
      <w:r>
        <w:t xml:space="preserve"> de 3.000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(ibidem)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erodare</w:t>
      </w:r>
      <w:proofErr w:type="spellEnd"/>
      <w:r>
        <w:t xml:space="preserve"> </w:t>
      </w:r>
      <w:proofErr w:type="spellStart"/>
      <w:r>
        <w:t>treptată</w:t>
      </w:r>
      <w:proofErr w:type="spellEnd"/>
      <w:r>
        <w:t xml:space="preserve"> a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, </w:t>
      </w:r>
      <w:proofErr w:type="spellStart"/>
      <w:r>
        <w:t>deși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populat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Dolj, </w:t>
      </w:r>
      <w:proofErr w:type="spellStart"/>
      <w:r>
        <w:t>resimte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de </w:t>
      </w:r>
      <w:proofErr w:type="spellStart"/>
      <w:r>
        <w:t>restructurare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energetic.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clasamentul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, Gorj se </w:t>
      </w:r>
      <w:proofErr w:type="spellStart"/>
      <w:r>
        <w:t>afla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plecarea</w:t>
      </w:r>
      <w:proofErr w:type="spellEnd"/>
      <w:r>
        <w:t xml:space="preserve"> </w:t>
      </w:r>
      <w:proofErr w:type="spellStart"/>
      <w:r>
        <w:t>minerilor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</w:t>
      </w:r>
      <w:proofErr w:type="spellStart"/>
      <w:r>
        <w:t>douăzeci</w:t>
      </w:r>
      <w:proofErr w:type="spellEnd"/>
      <w:r>
        <w:t xml:space="preserve">, o </w:t>
      </w:r>
      <w:proofErr w:type="spellStart"/>
      <w:r>
        <w:t>poziție</w:t>
      </w:r>
      <w:proofErr w:type="spellEnd"/>
      <w:r>
        <w:t xml:space="preserve"> de </w:t>
      </w:r>
      <w:proofErr w:type="spellStart"/>
      <w:r>
        <w:t>mijloc</w:t>
      </w:r>
      <w:proofErr w:type="spellEnd"/>
      <w:r>
        <w:t xml:space="preserve"> care </w:t>
      </w:r>
      <w:proofErr w:type="spellStart"/>
      <w:r>
        <w:t>maschează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miniere</w:t>
      </w:r>
      <w:proofErr w:type="spellEnd"/>
      <w:r>
        <w:t>.</w:t>
      </w:r>
    </w:p>
    <w:p w14:paraId="2101754F" w14:textId="77777777" w:rsidR="00B57A6D" w:rsidRDefault="00000000">
      <w:pPr>
        <w:spacing w:after="160" w:line="360" w:lineRule="auto"/>
        <w:jc w:val="both"/>
      </w:pPr>
      <w:r>
        <w:t xml:space="preserve">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pozitivă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au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.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, 89 de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 </w:t>
      </w:r>
      <w:proofErr w:type="spellStart"/>
      <w:r>
        <w:t>depuseseră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pe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prevedeau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a 1.572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31 </w:t>
      </w:r>
      <w:proofErr w:type="spellStart"/>
      <w:r>
        <w:t>fuseseră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create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raportării</w:t>
      </w:r>
      <w:proofErr w:type="spellEnd"/>
      <w:r>
        <w:t xml:space="preserve">. (ibidem) </w:t>
      </w:r>
      <w:proofErr w:type="spellStart"/>
      <w:r>
        <w:t>Șapte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reziliaseră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fond. </w:t>
      </w:r>
      <w:proofErr w:type="spellStart"/>
      <w:r>
        <w:t>Cifrele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, pe de o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mecanismul</w:t>
      </w:r>
      <w:proofErr w:type="spellEnd"/>
      <w:r>
        <w:t xml:space="preserve">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genereze</w:t>
      </w:r>
      <w:proofErr w:type="spellEnd"/>
      <w:r>
        <w:t xml:space="preserve"> </w:t>
      </w:r>
      <w:proofErr w:type="spellStart"/>
      <w:r>
        <w:t>ocupare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,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ritmul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lent,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promise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create </w:t>
      </w:r>
      <w:proofErr w:type="spellStart"/>
      <w:r>
        <w:t>rămâne</w:t>
      </w:r>
      <w:proofErr w:type="spellEnd"/>
      <w:r>
        <w:t xml:space="preserve"> mare. </w:t>
      </w:r>
      <w:r>
        <w:lastRenderedPageBreak/>
        <w:t xml:space="preserve">Cele 31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deocamdată</w:t>
      </w:r>
      <w:proofErr w:type="spellEnd"/>
      <w:r>
        <w:t xml:space="preserve"> o </w:t>
      </w:r>
      <w:proofErr w:type="spellStart"/>
      <w:r>
        <w:t>fracțiune</w:t>
      </w:r>
      <w:proofErr w:type="spellEnd"/>
      <w:r>
        <w:t xml:space="preserve"> </w:t>
      </w:r>
      <w:proofErr w:type="spellStart"/>
      <w:r>
        <w:t>neglijabilă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1.500 </w:t>
      </w:r>
      <w:proofErr w:type="spellStart"/>
      <w:r>
        <w:t>prevăzute</w:t>
      </w:r>
      <w:proofErr w:type="spellEnd"/>
      <w:r>
        <w:t>.</w:t>
      </w:r>
    </w:p>
    <w:p w14:paraId="4FFE29E5" w14:textId="77777777" w:rsidR="00B57A6D" w:rsidRDefault="00000000">
      <w:pPr>
        <w:spacing w:after="160" w:line="360" w:lineRule="auto"/>
        <w:jc w:val="both"/>
      </w:pPr>
      <w:r>
        <w:t xml:space="preserve">Târgu Jiu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.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sectorul</w:t>
      </w:r>
      <w:proofErr w:type="spellEnd"/>
      <w:r>
        <w:t xml:space="preserve"> energetic, Gorj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un </w:t>
      </w:r>
      <w:proofErr w:type="spellStart"/>
      <w:r>
        <w:t>potențial</w:t>
      </w:r>
      <w:proofErr w:type="spellEnd"/>
      <w:r>
        <w:t xml:space="preserve"> </w:t>
      </w:r>
      <w:proofErr w:type="spellStart"/>
      <w:r>
        <w:t>turistic</w:t>
      </w:r>
      <w:proofErr w:type="spellEnd"/>
      <w:r>
        <w:t xml:space="preserve"> </w:t>
      </w:r>
      <w:proofErr w:type="spellStart"/>
      <w:r>
        <w:t>insuficient</w:t>
      </w:r>
      <w:proofErr w:type="spellEnd"/>
      <w:r>
        <w:t xml:space="preserve"> </w:t>
      </w:r>
      <w:proofErr w:type="spellStart"/>
      <w:r>
        <w:t>valorificat</w:t>
      </w:r>
      <w:proofErr w:type="spellEnd"/>
      <w:r>
        <w:t xml:space="preserve">, </w:t>
      </w:r>
      <w:proofErr w:type="spellStart"/>
      <w:r>
        <w:t>legat</w:t>
      </w:r>
      <w:proofErr w:type="spellEnd"/>
      <w:r>
        <w:t xml:space="preserve"> de zona </w:t>
      </w:r>
      <w:proofErr w:type="spellStart"/>
      <w:r>
        <w:t>montană</w:t>
      </w:r>
      <w:proofErr w:type="spellEnd"/>
      <w:r>
        <w:t xml:space="preserve"> din </w:t>
      </w:r>
      <w:proofErr w:type="spellStart"/>
      <w:r>
        <w:t>nordul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patrimoniul</w:t>
      </w:r>
      <w:proofErr w:type="spellEnd"/>
      <w:r>
        <w:t xml:space="preserve"> cultural al </w:t>
      </w:r>
      <w:proofErr w:type="spellStart"/>
      <w:r>
        <w:t>sculptorului</w:t>
      </w:r>
      <w:proofErr w:type="spellEnd"/>
      <w:r>
        <w:t xml:space="preserve"> Constantin </w:t>
      </w:r>
      <w:proofErr w:type="spellStart"/>
      <w:r>
        <w:t>Brâncuși</w:t>
      </w:r>
      <w:proofErr w:type="spellEnd"/>
      <w:r>
        <w:t xml:space="preserve">. </w:t>
      </w:r>
      <w:proofErr w:type="spellStart"/>
      <w:r>
        <w:t>Infrastructura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deficitară</w:t>
      </w:r>
      <w:proofErr w:type="spellEnd"/>
      <w:r>
        <w:t xml:space="preserve">. Pe </w:t>
      </w:r>
      <w:proofErr w:type="spellStart"/>
      <w:r>
        <w:t>scurt</w:t>
      </w:r>
      <w:proofErr w:type="spellEnd"/>
      <w:r>
        <w:t xml:space="preserve">,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a </w:t>
      </w:r>
      <w:proofErr w:type="spellStart"/>
      <w:r>
        <w:t>confirmat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Gorj un </w:t>
      </w:r>
      <w:proofErr w:type="spellStart"/>
      <w:r>
        <w:t>adevăr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larg</w:t>
      </w:r>
      <w:proofErr w:type="spellEnd"/>
      <w:r>
        <w:t xml:space="preserve"> al </w:t>
      </w:r>
      <w:proofErr w:type="spellStart"/>
      <w:r>
        <w:t>regiunii</w:t>
      </w:r>
      <w:proofErr w:type="spellEnd"/>
      <w:r>
        <w:t xml:space="preserve">: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dinspre</w:t>
      </w:r>
      <w:proofErr w:type="spellEnd"/>
      <w:r>
        <w:t xml:space="preserve">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cărbune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diversificată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inevitabilă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ale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tranziții</w:t>
      </w:r>
      <w:proofErr w:type="spellEnd"/>
      <w:r>
        <w:t xml:space="preserve"> se </w:t>
      </w:r>
      <w:proofErr w:type="spellStart"/>
      <w:r>
        <w:t>resimt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beneficiilor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menite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compenseze</w:t>
      </w:r>
      <w:proofErr w:type="spellEnd"/>
      <w:r>
        <w:t xml:space="preserve"> </w:t>
      </w:r>
      <w:proofErr w:type="spellStart"/>
      <w:r>
        <w:t>pierderile</w:t>
      </w:r>
      <w:proofErr w:type="spellEnd"/>
      <w:r>
        <w:t xml:space="preserve"> se absorb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se </w:t>
      </w:r>
      <w:proofErr w:type="spellStart"/>
      <w:r>
        <w:t>pierd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.</w:t>
      </w:r>
    </w:p>
    <w:p w14:paraId="649A19FE" w14:textId="23344121" w:rsidR="00B57A6D" w:rsidRDefault="00B57A6D">
      <w:pPr>
        <w:pageBreakBefore/>
        <w:spacing w:after="220"/>
      </w:pPr>
    </w:p>
    <w:p w14:paraId="06E42362" w14:textId="77777777" w:rsidR="00B57A6D" w:rsidRDefault="00000000">
      <w:pPr>
        <w:pStyle w:val="Heading1"/>
      </w:pPr>
      <w:bookmarkStart w:id="11" w:name="_Toc232697846"/>
      <w:r>
        <w:t xml:space="preserve">10.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bookmarkEnd w:id="11"/>
      <w:proofErr w:type="spellEnd"/>
    </w:p>
    <w:p w14:paraId="792E0E9C" w14:textId="77777777" w:rsidR="00B57A6D" w:rsidRDefault="00000000">
      <w:pPr>
        <w:spacing w:after="160" w:line="360" w:lineRule="auto"/>
        <w:jc w:val="both"/>
      </w:pPr>
      <w:r>
        <w:t xml:space="preserve">Una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concrete </w:t>
      </w:r>
      <w:proofErr w:type="spellStart"/>
      <w:r>
        <w:t>întrebări</w:t>
      </w:r>
      <w:proofErr w:type="spellEnd"/>
      <w:r>
        <w:t xml:space="preserve"> pe care le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pur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simplu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la un moment dat.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de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iunie</w:t>
      </w:r>
      <w:proofErr w:type="spellEnd"/>
      <w:r>
        <w:t xml:space="preserve"> permit un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parțial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util.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Dolj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190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168. (AJOFM Dolj,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se </w:t>
      </w:r>
      <w:proofErr w:type="spellStart"/>
      <w:r>
        <w:t>referă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la </w:t>
      </w:r>
      <w:proofErr w:type="spellStart"/>
      <w:r>
        <w:t>posturile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agențiilor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acoperă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de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gestionată</w:t>
      </w:r>
      <w:proofErr w:type="spellEnd"/>
      <w:r>
        <w:t xml:space="preserve"> direct de </w:t>
      </w:r>
      <w:proofErr w:type="spellStart"/>
      <w:r>
        <w:t>firme</w:t>
      </w:r>
      <w:proofErr w:type="spellEnd"/>
      <w:r>
        <w:t xml:space="preserve">.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ceva</w:t>
      </w:r>
      <w:proofErr w:type="spellEnd"/>
      <w:r>
        <w:t xml:space="preserve"> important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căutate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>.</w:t>
      </w:r>
    </w:p>
    <w:p w14:paraId="76F376B9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Dolj, </w:t>
      </w:r>
      <w:proofErr w:type="spellStart"/>
      <w:r>
        <w:t>repartiția</w:t>
      </w:r>
      <w:proofErr w:type="spellEnd"/>
      <w:r>
        <w:t xml:space="preserve"> pe </w:t>
      </w:r>
      <w:proofErr w:type="spellStart"/>
      <w:r>
        <w:t>niveluri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era </w:t>
      </w:r>
      <w:proofErr w:type="spellStart"/>
      <w:r>
        <w:t>următoarea</w:t>
      </w:r>
      <w:proofErr w:type="spellEnd"/>
      <w:r>
        <w:t xml:space="preserve">: 24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, 90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liceale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postliceale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oferta</w:t>
      </w:r>
      <w:proofErr w:type="spellEnd"/>
      <w:r>
        <w:t xml:space="preserve"> era </w:t>
      </w:r>
      <w:proofErr w:type="spellStart"/>
      <w:r>
        <w:t>dominată</w:t>
      </w:r>
      <w:proofErr w:type="spellEnd"/>
      <w:r>
        <w:t xml:space="preserve"> de </w:t>
      </w:r>
      <w:proofErr w:type="spellStart"/>
      <w:r>
        <w:t>meserii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: </w:t>
      </w:r>
      <w:proofErr w:type="spellStart"/>
      <w:r>
        <w:t>operatori</w:t>
      </w:r>
      <w:proofErr w:type="spellEnd"/>
      <w:r>
        <w:t xml:space="preserve"> </w:t>
      </w:r>
      <w:proofErr w:type="spellStart"/>
      <w:r>
        <w:t>cablaje</w:t>
      </w:r>
      <w:proofErr w:type="spellEnd"/>
      <w:r>
        <w:t xml:space="preserve">, </w:t>
      </w:r>
      <w:proofErr w:type="spellStart"/>
      <w:r>
        <w:t>lăcătuși</w:t>
      </w:r>
      <w:proofErr w:type="spellEnd"/>
      <w:r>
        <w:t xml:space="preserve"> </w:t>
      </w:r>
      <w:proofErr w:type="spellStart"/>
      <w:r>
        <w:t>mecanici</w:t>
      </w:r>
      <w:proofErr w:type="spellEnd"/>
      <w:r>
        <w:t xml:space="preserve">, </w:t>
      </w:r>
      <w:proofErr w:type="spellStart"/>
      <w:r>
        <w:t>sudori</w:t>
      </w:r>
      <w:proofErr w:type="spellEnd"/>
      <w:r>
        <w:t xml:space="preserve">, </w:t>
      </w:r>
      <w:proofErr w:type="spellStart"/>
      <w:r>
        <w:t>electricieni</w:t>
      </w:r>
      <w:proofErr w:type="spellEnd"/>
      <w:r>
        <w:t xml:space="preserve">, </w:t>
      </w:r>
      <w:proofErr w:type="spellStart"/>
      <w:r>
        <w:t>lăcătuși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navale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tubulatori</w:t>
      </w:r>
      <w:proofErr w:type="spellEnd"/>
      <w:r>
        <w:t xml:space="preserve"> </w:t>
      </w:r>
      <w:proofErr w:type="spellStart"/>
      <w:r>
        <w:t>navali</w:t>
      </w:r>
      <w:proofErr w:type="spellEnd"/>
      <w:r>
        <w:t xml:space="preserve">, </w:t>
      </w:r>
      <w:proofErr w:type="spellStart"/>
      <w:r>
        <w:t>completate</w:t>
      </w:r>
      <w:proofErr w:type="spellEnd"/>
      <w:r>
        <w:t xml:space="preserve"> de </w:t>
      </w:r>
      <w:proofErr w:type="spellStart"/>
      <w:r>
        <w:t>bucătari</w:t>
      </w:r>
      <w:proofErr w:type="spellEnd"/>
      <w:r>
        <w:t xml:space="preserve">, </w:t>
      </w:r>
      <w:proofErr w:type="spellStart"/>
      <w:r>
        <w:t>ospătari</w:t>
      </w:r>
      <w:proofErr w:type="spellEnd"/>
      <w:r>
        <w:t xml:space="preserve">, </w:t>
      </w:r>
      <w:proofErr w:type="spellStart"/>
      <w:r>
        <w:t>economiști</w:t>
      </w:r>
      <w:proofErr w:type="spellEnd"/>
      <w:r>
        <w:t xml:space="preserve">, </w:t>
      </w:r>
      <w:proofErr w:type="spellStart"/>
      <w:r>
        <w:t>ingineri</w:t>
      </w:r>
      <w:proofErr w:type="spellEnd"/>
      <w:r>
        <w:t xml:space="preserve">, </w:t>
      </w:r>
      <w:proofErr w:type="spellStart"/>
      <w:r>
        <w:t>stivuitoriști</w:t>
      </w:r>
      <w:proofErr w:type="spellEnd"/>
      <w:r>
        <w:t xml:space="preserve">, </w:t>
      </w:r>
      <w:proofErr w:type="spellStart"/>
      <w:r>
        <w:t>tehnicieni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muncitori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.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sintetizează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solicitate </w:t>
      </w:r>
      <w:proofErr w:type="spellStart"/>
      <w:r>
        <w:t>ocupații</w:t>
      </w:r>
      <w:proofErr w:type="spellEnd"/>
      <w:r>
        <w:t xml:space="preserve"> din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>.</w:t>
      </w:r>
    </w:p>
    <w:p w14:paraId="751E8161" w14:textId="77777777" w:rsidR="00B57A6D" w:rsidRDefault="00000000">
      <w:pPr>
        <w:spacing w:after="80"/>
      </w:pPr>
      <w:proofErr w:type="spellStart"/>
      <w:r>
        <w:rPr>
          <w:i/>
          <w:iCs/>
          <w:sz w:val="22"/>
          <w:szCs w:val="22"/>
        </w:rPr>
        <w:t>Tabelul</w:t>
      </w:r>
      <w:proofErr w:type="spellEnd"/>
      <w:r>
        <w:rPr>
          <w:i/>
          <w:iCs/>
          <w:sz w:val="22"/>
          <w:szCs w:val="22"/>
        </w:rPr>
        <w:t xml:space="preserve"> 5. Cele </w:t>
      </w:r>
      <w:proofErr w:type="spellStart"/>
      <w:r>
        <w:rPr>
          <w:i/>
          <w:iCs/>
          <w:sz w:val="22"/>
          <w:szCs w:val="22"/>
        </w:rPr>
        <w:t>mai</w:t>
      </w:r>
      <w:proofErr w:type="spellEnd"/>
      <w:r>
        <w:rPr>
          <w:i/>
          <w:iCs/>
          <w:sz w:val="22"/>
          <w:szCs w:val="22"/>
        </w:rPr>
        <w:t xml:space="preserve"> solicitate </w:t>
      </w:r>
      <w:proofErr w:type="spellStart"/>
      <w:r>
        <w:rPr>
          <w:i/>
          <w:iCs/>
          <w:sz w:val="22"/>
          <w:szCs w:val="22"/>
        </w:rPr>
        <w:t>ocupații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în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Mehedinți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mai</w:t>
      </w:r>
      <w:proofErr w:type="spellEnd"/>
      <w:r>
        <w:rPr>
          <w:i/>
          <w:iCs/>
          <w:sz w:val="22"/>
          <w:szCs w:val="22"/>
        </w:rPr>
        <w:t xml:space="preserve">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0"/>
        <w:gridCol w:w="3000"/>
      </w:tblGrid>
      <w:tr w:rsidR="00B57A6D" w14:paraId="624066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E564EEA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Ocupație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1F4E79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1E3768" w14:textId="77777777" w:rsidR="00B57A6D" w:rsidRDefault="00000000">
            <w:pPr>
              <w:spacing w:line="260" w:lineRule="auto"/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Locuri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disponibile</w:t>
            </w:r>
            <w:proofErr w:type="spellEnd"/>
          </w:p>
        </w:tc>
      </w:tr>
      <w:tr w:rsidR="00B57A6D" w14:paraId="41948E5D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BB48E07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 xml:space="preserve">Operator </w:t>
            </w:r>
            <w:proofErr w:type="spellStart"/>
            <w:r>
              <w:rPr>
                <w:color w:val="000000"/>
                <w:sz w:val="22"/>
                <w:szCs w:val="22"/>
              </w:rPr>
              <w:t>cablaje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B98E4A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B57A6D" w14:paraId="2E3759F9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B266BAF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Lăcătuș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mecanic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BFE19FB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B57A6D" w14:paraId="38786045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C836A3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Sudor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88F9C9E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B57A6D" w14:paraId="2DFD2DA8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D120F1B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Lăcătuș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mecanic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întreținere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și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reparații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8DA690F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</w:tr>
      <w:tr w:rsidR="00B57A6D" w14:paraId="0799B609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4CD4B43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Electrician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2CD4340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B57A6D" w14:paraId="049D9B30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EE92B32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Lăcătuș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construcții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navale</w:t>
            </w:r>
            <w:proofErr w:type="spellEnd"/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22AF248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B57A6D" w14:paraId="45D45D44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2D572A8C" w14:textId="77777777" w:rsidR="00B57A6D" w:rsidRDefault="00000000">
            <w:pPr>
              <w:spacing w:line="260" w:lineRule="auto"/>
            </w:pPr>
            <w:proofErr w:type="spellStart"/>
            <w:r>
              <w:rPr>
                <w:color w:val="000000"/>
                <w:sz w:val="22"/>
                <w:szCs w:val="22"/>
              </w:rPr>
              <w:t>Tubulator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naval</w:t>
            </w:r>
          </w:p>
        </w:tc>
        <w:tc>
          <w:tcPr>
            <w:tcW w:w="3000" w:type="dxa"/>
            <w:tcBorders>
              <w:top w:val="single" w:sz="1" w:space="0" w:color="BBBBBB"/>
              <w:left w:val="single" w:sz="1" w:space="0" w:color="BBBBBB"/>
              <w:bottom w:val="single" w:sz="1" w:space="0" w:color="BBBBBB"/>
              <w:right w:val="single" w:sz="1" w:space="0" w:color="BBBBBB"/>
            </w:tcBorders>
            <w:shd w:val="clear" w:color="auto" w:fill="FFFFFF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0819D9" w14:textId="77777777" w:rsidR="00B57A6D" w:rsidRDefault="00000000">
            <w:pPr>
              <w:spacing w:line="260" w:lineRule="auto"/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</w:tbl>
    <w:p w14:paraId="7F0AE5D2" w14:textId="77777777" w:rsidR="00B57A6D" w:rsidRDefault="00000000">
      <w:pPr>
        <w:spacing w:before="40" w:after="200"/>
        <w:jc w:val="right"/>
      </w:pPr>
      <w:r>
        <w:rPr>
          <w:i/>
          <w:iCs/>
          <w:color w:val="595959"/>
          <w:sz w:val="20"/>
          <w:szCs w:val="20"/>
        </w:rPr>
        <w:t xml:space="preserve">Sursa: AJOFM </w:t>
      </w:r>
      <w:proofErr w:type="spellStart"/>
      <w:r>
        <w:rPr>
          <w:i/>
          <w:iCs/>
          <w:color w:val="595959"/>
          <w:sz w:val="20"/>
          <w:szCs w:val="20"/>
        </w:rPr>
        <w:t>Mehedinți</w:t>
      </w:r>
      <w:proofErr w:type="spellEnd"/>
      <w:r>
        <w:rPr>
          <w:i/>
          <w:iCs/>
          <w:color w:val="595959"/>
          <w:sz w:val="20"/>
          <w:szCs w:val="20"/>
        </w:rPr>
        <w:t xml:space="preserve">, </w:t>
      </w:r>
      <w:proofErr w:type="spellStart"/>
      <w:r>
        <w:rPr>
          <w:i/>
          <w:iCs/>
          <w:color w:val="595959"/>
          <w:sz w:val="20"/>
          <w:szCs w:val="20"/>
        </w:rPr>
        <w:t>comunicat</w:t>
      </w:r>
      <w:proofErr w:type="spellEnd"/>
      <w:r>
        <w:rPr>
          <w:i/>
          <w:iCs/>
          <w:color w:val="595959"/>
          <w:sz w:val="20"/>
          <w:szCs w:val="20"/>
        </w:rPr>
        <w:t xml:space="preserve"> </w:t>
      </w:r>
      <w:proofErr w:type="spellStart"/>
      <w:r>
        <w:rPr>
          <w:i/>
          <w:iCs/>
          <w:color w:val="595959"/>
          <w:sz w:val="20"/>
          <w:szCs w:val="20"/>
        </w:rPr>
        <w:t>preluat</w:t>
      </w:r>
      <w:proofErr w:type="spellEnd"/>
      <w:r>
        <w:rPr>
          <w:i/>
          <w:iCs/>
          <w:color w:val="595959"/>
          <w:sz w:val="20"/>
          <w:szCs w:val="20"/>
        </w:rPr>
        <w:t xml:space="preserve"> de Jurnalul </w:t>
      </w:r>
      <w:proofErr w:type="spellStart"/>
      <w:r>
        <w:rPr>
          <w:i/>
          <w:iCs/>
          <w:color w:val="595959"/>
          <w:sz w:val="20"/>
          <w:szCs w:val="20"/>
        </w:rPr>
        <w:t>Olteniei</w:t>
      </w:r>
      <w:proofErr w:type="spellEnd"/>
      <w:r>
        <w:rPr>
          <w:i/>
          <w:iCs/>
          <w:color w:val="595959"/>
          <w:sz w:val="20"/>
          <w:szCs w:val="20"/>
        </w:rPr>
        <w:t xml:space="preserve">, 15 </w:t>
      </w:r>
      <w:proofErr w:type="spellStart"/>
      <w:r>
        <w:rPr>
          <w:i/>
          <w:iCs/>
          <w:color w:val="595959"/>
          <w:sz w:val="20"/>
          <w:szCs w:val="20"/>
        </w:rPr>
        <w:t>iunie</w:t>
      </w:r>
      <w:proofErr w:type="spellEnd"/>
      <w:r>
        <w:rPr>
          <w:i/>
          <w:iCs/>
          <w:color w:val="595959"/>
          <w:sz w:val="20"/>
          <w:szCs w:val="20"/>
        </w:rPr>
        <w:t xml:space="preserve"> 2026.</w:t>
      </w:r>
    </w:p>
    <w:p w14:paraId="601FAD9C" w14:textId="77777777" w:rsidR="00B57A6D" w:rsidRDefault="00000000">
      <w:pPr>
        <w:spacing w:after="160" w:line="360" w:lineRule="auto"/>
        <w:jc w:val="both"/>
      </w:pPr>
      <w:r>
        <w:t xml:space="preserve">Din </w:t>
      </w:r>
      <w:proofErr w:type="spellStart"/>
      <w:r>
        <w:t>această</w:t>
      </w:r>
      <w:proofErr w:type="spellEnd"/>
      <w:r>
        <w:t xml:space="preserve"> imagine se </w:t>
      </w:r>
      <w:proofErr w:type="spellStart"/>
      <w:r>
        <w:t>desprinde</w:t>
      </w:r>
      <w:proofErr w:type="spellEnd"/>
      <w:r>
        <w:t xml:space="preserve"> o </w:t>
      </w:r>
      <w:proofErr w:type="spellStart"/>
      <w:r>
        <w:t>concluzie</w:t>
      </w:r>
      <w:proofErr w:type="spellEnd"/>
      <w:r>
        <w:t xml:space="preserve"> care </w:t>
      </w:r>
      <w:proofErr w:type="spellStart"/>
      <w:r>
        <w:t>traversează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.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cer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proporție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,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meserie</w:t>
      </w:r>
      <w:proofErr w:type="spellEnd"/>
      <w:r>
        <w:t xml:space="preserve">: </w:t>
      </w:r>
      <w:proofErr w:type="spellStart"/>
      <w:r>
        <w:t>sudură</w:t>
      </w:r>
      <w:proofErr w:type="spellEnd"/>
      <w:r>
        <w:t xml:space="preserve">, </w:t>
      </w:r>
      <w:proofErr w:type="spellStart"/>
      <w:r>
        <w:t>lăcătușerie</w:t>
      </w:r>
      <w:proofErr w:type="spellEnd"/>
      <w:r>
        <w:t xml:space="preserve">, </w:t>
      </w:r>
      <w:proofErr w:type="spellStart"/>
      <w:r>
        <w:t>electricitate</w:t>
      </w:r>
      <w:proofErr w:type="spellEnd"/>
      <w:r>
        <w:t xml:space="preserve">, </w:t>
      </w:r>
      <w:proofErr w:type="spellStart"/>
      <w:r>
        <w:t>operare</w:t>
      </w:r>
      <w:proofErr w:type="spellEnd"/>
      <w:r>
        <w:t xml:space="preserve"> a </w:t>
      </w:r>
      <w:proofErr w:type="spellStart"/>
      <w:r>
        <w:t>mașinilor</w:t>
      </w:r>
      <w:proofErr w:type="spellEnd"/>
      <w:r>
        <w:t xml:space="preserve">, </w:t>
      </w:r>
      <w:proofErr w:type="spellStart"/>
      <w:r>
        <w:t>construcții</w:t>
      </w:r>
      <w:proofErr w:type="spellEnd"/>
      <w:r>
        <w:t xml:space="preserve">. </w:t>
      </w:r>
      <w:proofErr w:type="spellStart"/>
      <w:r>
        <w:t>Profilul</w:t>
      </w:r>
      <w:proofErr w:type="spellEnd"/>
      <w:r>
        <w:t xml:space="preserve"> </w:t>
      </w:r>
      <w:proofErr w:type="spellStart"/>
      <w:r>
        <w:t>majorității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, </w:t>
      </w:r>
      <w:proofErr w:type="spellStart"/>
      <w:r>
        <w:t>dominat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calificări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nu </w:t>
      </w:r>
      <w:proofErr w:type="spellStart"/>
      <w:r>
        <w:t>corespunde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cereri</w:t>
      </w:r>
      <w:proofErr w:type="spellEnd"/>
      <w:r>
        <w:t xml:space="preserve">. </w:t>
      </w:r>
      <w:proofErr w:type="spellStart"/>
      <w:r>
        <w:lastRenderedPageBreak/>
        <w:t>Rezultatul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un paradox </w:t>
      </w:r>
      <w:proofErr w:type="spellStart"/>
      <w:r>
        <w:t>aparent</w:t>
      </w:r>
      <w:proofErr w:type="spellEnd"/>
      <w:r>
        <w:t xml:space="preserve">: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neocupate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mii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ocupație</w:t>
      </w:r>
      <w:proofErr w:type="spellEnd"/>
      <w:r>
        <w:t xml:space="preserve">, separate de o </w:t>
      </w:r>
      <w:proofErr w:type="spellStart"/>
      <w:r>
        <w:t>nepotrivire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 pe care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încearcă</w:t>
      </w:r>
      <w:proofErr w:type="spellEnd"/>
      <w:r>
        <w:t xml:space="preserve">, cu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inegale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reducă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nepotrivire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degrabă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pură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centrală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oltenești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>.</w:t>
      </w:r>
    </w:p>
    <w:p w14:paraId="3A543155" w14:textId="77777777" w:rsidR="00B57A6D" w:rsidRDefault="00000000">
      <w:pPr>
        <w:spacing w:after="160" w:line="360" w:lineRule="auto"/>
        <w:jc w:val="both"/>
      </w:pPr>
      <w:proofErr w:type="spellStart"/>
      <w:r>
        <w:t>Agențiile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 au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. AJOFM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organiza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, </w:t>
      </w:r>
      <w:proofErr w:type="spellStart"/>
      <w:r>
        <w:t>înscrieri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</w:t>
      </w:r>
      <w:proofErr w:type="spellStart"/>
      <w:r>
        <w:t>gratuite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meseriile</w:t>
      </w:r>
      <w:proofErr w:type="spellEnd"/>
      <w:r>
        <w:t xml:space="preserve"> de </w:t>
      </w:r>
      <w:proofErr w:type="spellStart"/>
      <w:r>
        <w:t>bucătar</w:t>
      </w:r>
      <w:proofErr w:type="spellEnd"/>
      <w:r>
        <w:t xml:space="preserve">, </w:t>
      </w:r>
      <w:proofErr w:type="spellStart"/>
      <w:r>
        <w:t>cofetar</w:t>
      </w:r>
      <w:proofErr w:type="spellEnd"/>
      <w:r>
        <w:t xml:space="preserve">, </w:t>
      </w:r>
      <w:proofErr w:type="spellStart"/>
      <w:r>
        <w:t>cameristă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electrician. (AJOFM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se </w:t>
      </w:r>
      <w:proofErr w:type="spellStart"/>
      <w:r>
        <w:t>lovesc</w:t>
      </w:r>
      <w:proofErr w:type="spellEnd"/>
      <w:r>
        <w:t xml:space="preserve"> de o </w:t>
      </w:r>
      <w:proofErr w:type="spellStart"/>
      <w:r>
        <w:t>limită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semnalată</w:t>
      </w:r>
      <w:proofErr w:type="spellEnd"/>
      <w:r>
        <w:t xml:space="preserve">: o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program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sine, </w:t>
      </w:r>
      <w:proofErr w:type="spellStart"/>
      <w:r>
        <w:t>dificilă</w:t>
      </w:r>
      <w:proofErr w:type="spellEnd"/>
      <w:r>
        <w:t xml:space="preserve">. Lista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pe </w:t>
      </w:r>
      <w:proofErr w:type="spellStart"/>
      <w:r>
        <w:t>platforma</w:t>
      </w:r>
      <w:proofErr w:type="spellEnd"/>
      <w:r>
        <w:t xml:space="preserve"> ANOFM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consultată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interesată</w:t>
      </w:r>
      <w:proofErr w:type="spellEnd"/>
      <w:r>
        <w:t xml:space="preserve">. (ANOFM,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cititorul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cifrele</w:t>
      </w:r>
      <w:proofErr w:type="spellEnd"/>
      <w:r>
        <w:t xml:space="preserve"> din </w:t>
      </w:r>
      <w:proofErr w:type="spellStart"/>
      <w:r>
        <w:t>iunie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tratate</w:t>
      </w:r>
      <w:proofErr w:type="spellEnd"/>
      <w:r>
        <w:t xml:space="preserve"> ca un </w:t>
      </w:r>
      <w:proofErr w:type="spellStart"/>
      <w:r>
        <w:t>instantaneu</w:t>
      </w:r>
      <w:proofErr w:type="spellEnd"/>
      <w:r>
        <w:t xml:space="preserve">: </w:t>
      </w:r>
      <w:proofErr w:type="spellStart"/>
      <w:r>
        <w:t>ele</w:t>
      </w:r>
      <w:proofErr w:type="spellEnd"/>
      <w:r>
        <w:t xml:space="preserve"> 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, pe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angajatorii</w:t>
      </w:r>
      <w:proofErr w:type="spellEnd"/>
      <w:r>
        <w:t xml:space="preserve"> </w:t>
      </w:r>
      <w:proofErr w:type="spellStart"/>
      <w:r>
        <w:t>declară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le </w:t>
      </w:r>
      <w:proofErr w:type="spellStart"/>
      <w:r>
        <w:t>ocupă</w:t>
      </w:r>
      <w:proofErr w:type="spellEnd"/>
      <w:r>
        <w:t xml:space="preserve"> pe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4AF566CA" w14:textId="77777777" w:rsidR="00B57A6D" w:rsidRDefault="00000000">
      <w:pPr>
        <w:pStyle w:val="Heading1"/>
        <w:pageBreakBefore/>
      </w:pPr>
      <w:bookmarkStart w:id="12" w:name="_Toc232697847"/>
      <w:r>
        <w:lastRenderedPageBreak/>
        <w:t xml:space="preserve">11.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regional: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educație</w:t>
      </w:r>
      <w:proofErr w:type="spellEnd"/>
      <w:r>
        <w:t xml:space="preserve">,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ocupabilitate</w:t>
      </w:r>
      <w:bookmarkEnd w:id="12"/>
      <w:proofErr w:type="spellEnd"/>
    </w:p>
    <w:p w14:paraId="43753637" w14:textId="77777777" w:rsidR="00B57A6D" w:rsidRDefault="00000000">
      <w:pPr>
        <w:spacing w:after="160" w:line="360" w:lineRule="auto"/>
        <w:jc w:val="both"/>
      </w:pPr>
      <w:proofErr w:type="spellStart"/>
      <w:r>
        <w:t>Dincolo</w:t>
      </w:r>
      <w:proofErr w:type="spellEnd"/>
      <w:r>
        <w:t xml:space="preserve"> de rata </w:t>
      </w:r>
      <w:proofErr w:type="spellStart"/>
      <w:r>
        <w:t>globală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natura </w:t>
      </w:r>
      <w:proofErr w:type="spellStart"/>
      <w:r>
        <w:t>problemei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agregate</w:t>
      </w:r>
      <w:proofErr w:type="spellEnd"/>
      <w:r>
        <w:t xml:space="preserve"> din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,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tipare</w:t>
      </w:r>
      <w:proofErr w:type="spellEnd"/>
      <w:r>
        <w:t xml:space="preserve"> care se </w:t>
      </w:r>
      <w:proofErr w:type="spellStart"/>
      <w:r>
        <w:t>regăsesc</w:t>
      </w:r>
      <w:proofErr w:type="spellEnd"/>
      <w:r>
        <w:t xml:space="preserve">, cu </w:t>
      </w:r>
      <w:proofErr w:type="spellStart"/>
      <w:r>
        <w:t>intensități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>.</w:t>
      </w:r>
    </w:p>
    <w:p w14:paraId="02ADA5DD" w14:textId="77777777" w:rsidR="00B57A6D" w:rsidRDefault="00000000">
      <w:pPr>
        <w:pStyle w:val="Heading2"/>
      </w:pPr>
      <w:bookmarkStart w:id="13" w:name="_Toc232697848"/>
      <w:r>
        <w:t xml:space="preserve">11.1.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segmentele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mature</w:t>
      </w:r>
      <w:bookmarkEnd w:id="13"/>
    </w:p>
    <w:p w14:paraId="5AC0C682" w14:textId="77777777" w:rsidR="00B57A6D" w:rsidRDefault="00000000">
      <w:pPr>
        <w:spacing w:after="160" w:line="360" w:lineRule="auto"/>
        <w:jc w:val="both"/>
      </w:pPr>
      <w:proofErr w:type="spellStart"/>
      <w:r>
        <w:t>Atât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 al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șomajul</w:t>
      </w:r>
      <w:proofErr w:type="spellEnd"/>
      <w:r>
        <w:t xml:space="preserve"> se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grupele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apropiate</w:t>
      </w:r>
      <w:proofErr w:type="spellEnd"/>
      <w:r>
        <w:t xml:space="preserve"> de </w:t>
      </w:r>
      <w:proofErr w:type="spellStart"/>
      <w:r>
        <w:t>pensionare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40 </w:t>
      </w:r>
      <w:proofErr w:type="spellStart"/>
      <w:r>
        <w:t>și</w:t>
      </w:r>
      <w:proofErr w:type="spellEnd"/>
      <w:r>
        <w:t xml:space="preserve"> 49 de ani </w:t>
      </w:r>
      <w:proofErr w:type="spellStart"/>
      <w:r>
        <w:t>însumau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din total.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grupa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 era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numeroasă</w:t>
      </w:r>
      <w:proofErr w:type="spellEnd"/>
      <w:r>
        <w:t xml:space="preserve">, cu 2.169 de </w:t>
      </w:r>
      <w:proofErr w:type="spellStart"/>
      <w:r>
        <w:t>persoane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grupă</w:t>
      </w:r>
      <w:proofErr w:type="spellEnd"/>
      <w:r>
        <w:t xml:space="preserve"> </w:t>
      </w:r>
      <w:proofErr w:type="spellStart"/>
      <w:r>
        <w:t>conducea</w:t>
      </w:r>
      <w:proofErr w:type="spellEnd"/>
      <w:r>
        <w:t xml:space="preserve">, cu 975 de </w:t>
      </w:r>
      <w:proofErr w:type="spellStart"/>
      <w:r>
        <w:t>persoane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 are o </w:t>
      </w:r>
      <w:proofErr w:type="spellStart"/>
      <w:r>
        <w:t>explicație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: </w:t>
      </w:r>
      <w:proofErr w:type="spellStart"/>
      <w:r>
        <w:t>persoanele</w:t>
      </w:r>
      <w:proofErr w:type="spellEnd"/>
      <w:r>
        <w:t xml:space="preserve"> mature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pierd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restructurărilor</w:t>
      </w:r>
      <w:proofErr w:type="spellEnd"/>
      <w:r>
        <w:t xml:space="preserve"> au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șanse</w:t>
      </w:r>
      <w:proofErr w:type="spellEnd"/>
      <w:r>
        <w:t xml:space="preserve"> de </w:t>
      </w:r>
      <w:proofErr w:type="spellStart"/>
      <w:r>
        <w:t>reintegrare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angajatorii</w:t>
      </w:r>
      <w:proofErr w:type="spellEnd"/>
      <w:r>
        <w:t xml:space="preserve"> </w:t>
      </w:r>
      <w:proofErr w:type="spellStart"/>
      <w:r>
        <w:t>preferă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tânără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reconversia</w:t>
      </w:r>
      <w:proofErr w:type="spellEnd"/>
      <w:r>
        <w:t xml:space="preserve"> la o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înaintată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dificilă</w:t>
      </w:r>
      <w:proofErr w:type="spellEnd"/>
      <w:r>
        <w:t xml:space="preserve">. </w:t>
      </w:r>
      <w:proofErr w:type="spellStart"/>
      <w:r>
        <w:t>Paradoxal</w:t>
      </w:r>
      <w:proofErr w:type="spellEnd"/>
      <w:r>
        <w:t xml:space="preserve">, </w:t>
      </w:r>
      <w:proofErr w:type="spellStart"/>
      <w:r>
        <w:t>șomajul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pare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absolute,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migrației</w:t>
      </w:r>
      <w:proofErr w:type="spellEnd"/>
      <w:r>
        <w:t xml:space="preserve">: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pleacă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apar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locale.</w:t>
      </w:r>
    </w:p>
    <w:p w14:paraId="308C3E0D" w14:textId="77777777" w:rsidR="00B57A6D" w:rsidRDefault="00000000">
      <w:pPr>
        <w:pStyle w:val="Heading2"/>
      </w:pPr>
      <w:bookmarkStart w:id="14" w:name="_Toc232697849"/>
      <w:r>
        <w:t xml:space="preserve">11.2.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de </w:t>
      </w:r>
      <w:proofErr w:type="spellStart"/>
      <w:r>
        <w:t>instruire</w:t>
      </w:r>
      <w:bookmarkEnd w:id="14"/>
      <w:proofErr w:type="spellEnd"/>
    </w:p>
    <w:p w14:paraId="0F353485" w14:textId="77777777" w:rsidR="00B57A6D" w:rsidRDefault="00000000">
      <w:pPr>
        <w:spacing w:after="160" w:line="360" w:lineRule="auto"/>
        <w:jc w:val="both"/>
      </w:pPr>
      <w:r>
        <w:t xml:space="preserve">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predominanța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cu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treimi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aveau</w:t>
      </w:r>
      <w:proofErr w:type="spellEnd"/>
      <w:r>
        <w:t xml:space="preserve">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absolvenții</w:t>
      </w:r>
      <w:proofErr w:type="spellEnd"/>
      <w:r>
        <w:t xml:space="preserve"> de </w:t>
      </w:r>
      <w:proofErr w:type="spellStart"/>
      <w:r>
        <w:t>gimnaziu</w:t>
      </w:r>
      <w:proofErr w:type="spellEnd"/>
      <w:r>
        <w:t xml:space="preserve"> </w:t>
      </w:r>
      <w:proofErr w:type="spellStart"/>
      <w:r>
        <w:t>reprezentau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43% din total,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cei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depășeau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treimi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era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, 38,18%,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parțial</w:t>
      </w:r>
      <w:proofErr w:type="spellEnd"/>
      <w:r>
        <w:t xml:space="preserve"> rata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realitate</w:t>
      </w:r>
      <w:proofErr w:type="spellEnd"/>
      <w:r>
        <w:t xml:space="preserve"> are o </w:t>
      </w:r>
      <w:proofErr w:type="spellStart"/>
      <w:r>
        <w:t>consecință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imediată</w:t>
      </w:r>
      <w:proofErr w:type="spellEnd"/>
      <w:r>
        <w:t xml:space="preserve">,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menționată</w:t>
      </w:r>
      <w:proofErr w:type="spellEnd"/>
      <w:r>
        <w:t xml:space="preserve">: </w:t>
      </w:r>
      <w:proofErr w:type="spellStart"/>
      <w:r>
        <w:t>programele</w:t>
      </w:r>
      <w:proofErr w:type="spellEnd"/>
      <w:r>
        <w:t xml:space="preserve"> de </w:t>
      </w:r>
      <w:proofErr w:type="spellStart"/>
      <w:r>
        <w:t>recalificare</w:t>
      </w:r>
      <w:proofErr w:type="spellEnd"/>
      <w:r>
        <w:t xml:space="preserve"> care </w:t>
      </w:r>
      <w:proofErr w:type="spellStart"/>
      <w:r>
        <w:t>presupun</w:t>
      </w:r>
      <w:proofErr w:type="spellEnd"/>
      <w:r>
        <w:t xml:space="preserve"> o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pornesc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, de la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insuficient</w:t>
      </w:r>
      <w:proofErr w:type="spellEnd"/>
      <w:r>
        <w:t>.</w:t>
      </w:r>
    </w:p>
    <w:p w14:paraId="072C83D9" w14:textId="77777777" w:rsidR="00B57A6D" w:rsidRDefault="00000000">
      <w:pPr>
        <w:pStyle w:val="Heading2"/>
      </w:pPr>
      <w:bookmarkStart w:id="15" w:name="_Toc232697850"/>
      <w:r>
        <w:t xml:space="preserve">11.3. </w:t>
      </w:r>
      <w:proofErr w:type="spellStart"/>
      <w:r>
        <w:t>Dezechilibrul</w:t>
      </w:r>
      <w:proofErr w:type="spellEnd"/>
      <w:r>
        <w:t xml:space="preserve"> urban-rural</w:t>
      </w:r>
      <w:bookmarkEnd w:id="15"/>
    </w:p>
    <w:p w14:paraId="51CAD1C8" w14:textId="77777777" w:rsidR="00B57A6D" w:rsidRDefault="00000000">
      <w:pPr>
        <w:spacing w:after="160" w:line="360" w:lineRule="auto"/>
        <w:jc w:val="both"/>
      </w:pPr>
      <w:r>
        <w:t xml:space="preserve">Al </w:t>
      </w:r>
      <w:proofErr w:type="spellStart"/>
      <w:r>
        <w:t>treilea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concentrarea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rural.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sferturi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proveneau</w:t>
      </w:r>
      <w:proofErr w:type="spellEnd"/>
      <w:r>
        <w:t xml:space="preserve"> din afara </w:t>
      </w:r>
      <w:proofErr w:type="spellStart"/>
      <w:r>
        <w:t>orașelor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</w:t>
      </w:r>
      <w:proofErr w:type="spellStart"/>
      <w:r>
        <w:t>atingea</w:t>
      </w:r>
      <w:proofErr w:type="spellEnd"/>
      <w:r>
        <w:t xml:space="preserve"> 84,31%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era </w:t>
      </w:r>
      <w:proofErr w:type="spellStart"/>
      <w:r>
        <w:t>ceva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echilibrat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din rural </w:t>
      </w:r>
      <w:proofErr w:type="spellStart"/>
      <w:r>
        <w:t>rămâneau</w:t>
      </w:r>
      <w:proofErr w:type="spellEnd"/>
      <w:r>
        <w:t xml:space="preserve"> </w:t>
      </w:r>
      <w:proofErr w:type="spellStart"/>
      <w:r>
        <w:t>majoritari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dezechilibru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fundamentală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general, ci </w:t>
      </w:r>
      <w:proofErr w:type="spellStart"/>
      <w:r>
        <w:t>lipsa</w:t>
      </w:r>
      <w:proofErr w:type="spellEnd"/>
      <w:r>
        <w:t xml:space="preserve"> lor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oameni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ocupație</w:t>
      </w:r>
      <w:proofErr w:type="spellEnd"/>
      <w:r>
        <w:t xml:space="preserve">. </w:t>
      </w:r>
      <w:proofErr w:type="spellStart"/>
      <w:r>
        <w:lastRenderedPageBreak/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se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se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sate,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transport </w:t>
      </w:r>
      <w:proofErr w:type="spellStart"/>
      <w:r>
        <w:t>accesibil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mobilități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devine</w:t>
      </w:r>
      <w:proofErr w:type="spellEnd"/>
      <w:r>
        <w:t xml:space="preserve"> o </w:t>
      </w:r>
      <w:proofErr w:type="spellStart"/>
      <w:r>
        <w:t>barieră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de </w:t>
      </w:r>
      <w:proofErr w:type="spellStart"/>
      <w:r>
        <w:t>trecut</w:t>
      </w:r>
      <w:proofErr w:type="spellEnd"/>
      <w:r>
        <w:t>.</w:t>
      </w:r>
    </w:p>
    <w:p w14:paraId="6CDEB71A" w14:textId="77777777" w:rsidR="00B57A6D" w:rsidRDefault="00000000">
      <w:pPr>
        <w:pStyle w:val="Heading2"/>
      </w:pPr>
      <w:bookmarkStart w:id="16" w:name="_Toc232697851"/>
      <w:r>
        <w:t xml:space="preserve">11.4. </w:t>
      </w:r>
      <w:proofErr w:type="spellStart"/>
      <w:r>
        <w:t>Ocupabilitatea</w:t>
      </w:r>
      <w:proofErr w:type="spellEnd"/>
      <w:r>
        <w:t xml:space="preserve"> </w:t>
      </w:r>
      <w:proofErr w:type="spellStart"/>
      <w:r>
        <w:t>redusă</w:t>
      </w:r>
      <w:bookmarkEnd w:id="16"/>
      <w:proofErr w:type="spellEnd"/>
    </w:p>
    <w:p w14:paraId="37234B4B" w14:textId="77777777" w:rsidR="00B57A6D" w:rsidRDefault="00000000">
      <w:pPr>
        <w:spacing w:after="160" w:line="360" w:lineRule="auto"/>
        <w:jc w:val="both"/>
      </w:pPr>
      <w:r>
        <w:t xml:space="preserve">Al </w:t>
      </w:r>
      <w:proofErr w:type="spellStart"/>
      <w:r>
        <w:t>patrulea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,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îngrijorător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covârșitoare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profilarea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agenții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din 7.246 de </w:t>
      </w:r>
      <w:proofErr w:type="spellStart"/>
      <w:r>
        <w:t>șomeri</w:t>
      </w:r>
      <w:proofErr w:type="spellEnd"/>
      <w:r>
        <w:t xml:space="preserve">, 910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4.444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6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situația</w:t>
      </w:r>
      <w:proofErr w:type="spellEnd"/>
      <w:r>
        <w:t xml:space="preserve"> era </w:t>
      </w:r>
      <w:proofErr w:type="spellStart"/>
      <w:r>
        <w:t>considerabil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, cu 411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total de 3.921.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diferență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sute</w:t>
      </w:r>
      <w:proofErr w:type="spellEnd"/>
      <w:r>
        <w:t xml:space="preserve"> </w:t>
      </w:r>
      <w:proofErr w:type="spellStart"/>
      <w:r>
        <w:t>unsprezece</w:t>
      </w:r>
      <w:proofErr w:type="spellEnd"/>
      <w:r>
        <w:t xml:space="preserve">, </w:t>
      </w:r>
      <w:proofErr w:type="spellStart"/>
      <w:r>
        <w:t>surprinde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bine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capete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 xml:space="preserve">: un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nimeni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considerat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de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consistentă</w:t>
      </w:r>
      <w:proofErr w:type="spellEnd"/>
      <w:r>
        <w:t xml:space="preserve"> a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de </w:t>
      </w:r>
      <w:proofErr w:type="spellStart"/>
      <w:r>
        <w:t>revenirea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600C56D5" w14:textId="77777777" w:rsidR="00B57A6D" w:rsidRDefault="00000000">
      <w:pPr>
        <w:pStyle w:val="Heading2"/>
      </w:pPr>
      <w:bookmarkStart w:id="17" w:name="_Toc232697852"/>
      <w:r>
        <w:t xml:space="preserve">11.5. </w:t>
      </w:r>
      <w:proofErr w:type="spellStart"/>
      <w:r>
        <w:t>Dimensiunea</w:t>
      </w:r>
      <w:proofErr w:type="spellEnd"/>
      <w:r>
        <w:t xml:space="preserve"> de gen</w:t>
      </w:r>
      <w:bookmarkEnd w:id="17"/>
    </w:p>
    <w:p w14:paraId="546C1A5F" w14:textId="77777777" w:rsidR="00B57A6D" w:rsidRDefault="00000000">
      <w:pPr>
        <w:spacing w:after="160" w:line="360" w:lineRule="auto"/>
        <w:jc w:val="both"/>
      </w:pPr>
      <w:r>
        <w:t xml:space="preserve">Un al </w:t>
      </w:r>
      <w:proofErr w:type="spellStart"/>
      <w:r>
        <w:t>cincilea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discutat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raportările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,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echilibrul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femei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bărbați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reprezentau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, 125.259 </w:t>
      </w:r>
      <w:proofErr w:type="spellStart"/>
      <w:r>
        <w:t>dintr</w:t>
      </w:r>
      <w:proofErr w:type="spellEnd"/>
      <w:r>
        <w:t xml:space="preserve">-un total de 259.160. (ANOFM, </w:t>
      </w:r>
      <w:proofErr w:type="spellStart"/>
      <w:r>
        <w:t>comunicat</w:t>
      </w:r>
      <w:proofErr w:type="spellEnd"/>
      <w:r>
        <w:t xml:space="preserve"> din 28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variază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femeile</w:t>
      </w:r>
      <w:proofErr w:type="spellEnd"/>
      <w:r>
        <w:t xml:space="preserve"> </w:t>
      </w:r>
      <w:proofErr w:type="spellStart"/>
      <w:r>
        <w:t>formau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</w:t>
      </w:r>
      <w:proofErr w:type="spellEnd"/>
      <w:r>
        <w:t xml:space="preserve"> de 44% din total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, 2.011 din 3.921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Dolj, conform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vechi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par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un </w:t>
      </w:r>
      <w:proofErr w:type="spellStart"/>
      <w:r>
        <w:t>echilibru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citite</w:t>
      </w:r>
      <w:proofErr w:type="spellEnd"/>
      <w:r>
        <w:t xml:space="preserve"> cu </w:t>
      </w:r>
      <w:proofErr w:type="spellStart"/>
      <w:r>
        <w:t>prudență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rata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femeilor</w:t>
      </w:r>
      <w:proofErr w:type="spellEnd"/>
      <w:r>
        <w:t xml:space="preserve"> ca </w:t>
      </w:r>
      <w:proofErr w:type="spellStart"/>
      <w:r>
        <w:t>șomere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influențată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 care nu </w:t>
      </w:r>
      <w:proofErr w:type="spellStart"/>
      <w:r>
        <w:t>țin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Multe </w:t>
      </w:r>
      <w:proofErr w:type="spellStart"/>
      <w:r>
        <w:t>femei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cele</w:t>
      </w:r>
      <w:proofErr w:type="spellEnd"/>
      <w:r>
        <w:t xml:space="preserve"> cu </w:t>
      </w:r>
      <w:proofErr w:type="spellStart"/>
      <w:r>
        <w:t>copii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responsabilități</w:t>
      </w:r>
      <w:proofErr w:type="spellEnd"/>
      <w:r>
        <w:t xml:space="preserve"> de </w:t>
      </w:r>
      <w:proofErr w:type="spellStart"/>
      <w:r>
        <w:t>îngrijire</w:t>
      </w:r>
      <w:proofErr w:type="spellEnd"/>
      <w:r>
        <w:t xml:space="preserve">, nu se </w:t>
      </w:r>
      <w:proofErr w:type="spellStart"/>
      <w:r>
        <w:t>înregistrează</w:t>
      </w:r>
      <w:proofErr w:type="spellEnd"/>
      <w:r>
        <w:t xml:space="preserve"> ca </w:t>
      </w:r>
      <w:proofErr w:type="spellStart"/>
      <w:r>
        <w:t>șomere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nu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activ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sprijin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apar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inactive, nu a </w:t>
      </w:r>
      <w:proofErr w:type="spellStart"/>
      <w:r>
        <w:t>șomerilor</w:t>
      </w:r>
      <w:proofErr w:type="spellEnd"/>
      <w:r>
        <w:t xml:space="preserve">. Realitatea </w:t>
      </w:r>
      <w:proofErr w:type="spellStart"/>
      <w:r>
        <w:t>ocupării</w:t>
      </w:r>
      <w:proofErr w:type="spellEnd"/>
      <w:r>
        <w:t xml:space="preserve"> feminine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probabil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dificilă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o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procente</w:t>
      </w:r>
      <w:proofErr w:type="spellEnd"/>
      <w:r>
        <w:t xml:space="preserve"> </w:t>
      </w:r>
      <w:proofErr w:type="spellStart"/>
      <w:r>
        <w:t>aparent</w:t>
      </w:r>
      <w:proofErr w:type="spellEnd"/>
      <w:r>
        <w:t xml:space="preserve"> </w:t>
      </w:r>
      <w:proofErr w:type="spellStart"/>
      <w:r>
        <w:t>echilibrate</w:t>
      </w:r>
      <w:proofErr w:type="spellEnd"/>
      <w:r>
        <w:t>.</w:t>
      </w:r>
    </w:p>
    <w:p w14:paraId="523C850E" w14:textId="4F4F6F53" w:rsidR="00B57A6D" w:rsidRDefault="00B57A6D">
      <w:pPr>
        <w:pageBreakBefore/>
        <w:spacing w:after="220"/>
      </w:pPr>
    </w:p>
    <w:p w14:paraId="76C93C0E" w14:textId="77777777" w:rsidR="00B57A6D" w:rsidRDefault="00000000">
      <w:pPr>
        <w:pStyle w:val="Heading1"/>
      </w:pPr>
      <w:bookmarkStart w:id="18" w:name="_Toc232697853"/>
      <w:r>
        <w:t xml:space="preserve">12.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de la </w:t>
      </w:r>
      <w:proofErr w:type="spellStart"/>
      <w:r>
        <w:t>școală</w:t>
      </w:r>
      <w:proofErr w:type="spellEnd"/>
      <w:r>
        <w:t xml:space="preserve"> la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bookmarkEnd w:id="18"/>
      <w:proofErr w:type="spellEnd"/>
    </w:p>
    <w:p w14:paraId="2111DA5A" w14:textId="77777777" w:rsidR="00B57A6D" w:rsidRDefault="00000000">
      <w:pPr>
        <w:spacing w:after="160" w:line="360" w:lineRule="auto"/>
        <w:jc w:val="both"/>
      </w:pPr>
      <w:proofErr w:type="spellStart"/>
      <w:r>
        <w:t>Situația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merită</w:t>
      </w:r>
      <w:proofErr w:type="spellEnd"/>
      <w:r>
        <w:t xml:space="preserve"> un capitol distinct,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</w:t>
      </w:r>
      <w:proofErr w:type="spellStart"/>
      <w:r>
        <w:t>vulnerabilitate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oportunitate</w:t>
      </w:r>
      <w:proofErr w:type="spellEnd"/>
      <w:r>
        <w:t xml:space="preserve"> a </w:t>
      </w:r>
      <w:proofErr w:type="spellStart"/>
      <w:r>
        <w:t>regiunii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15 </w:t>
      </w:r>
      <w:proofErr w:type="spellStart"/>
      <w:r>
        <w:t>și</w:t>
      </w:r>
      <w:proofErr w:type="spellEnd"/>
      <w:r>
        <w:t xml:space="preserve"> 24 de ani a </w:t>
      </w:r>
      <w:proofErr w:type="spellStart"/>
      <w:r>
        <w:t>fost</w:t>
      </w:r>
      <w:proofErr w:type="spellEnd"/>
      <w:r>
        <w:t xml:space="preserve"> de 28,8%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– </w:t>
      </w:r>
      <w:proofErr w:type="spellStart"/>
      <w:r>
        <w:t>martie</w:t>
      </w:r>
      <w:proofErr w:type="spellEnd"/>
      <w:r>
        <w:t xml:space="preserve"> 2026, (INS, </w:t>
      </w:r>
      <w:proofErr w:type="spellStart"/>
      <w:r>
        <w:t>comunicat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BIM, </w:t>
      </w:r>
      <w:proofErr w:type="spellStart"/>
      <w:r>
        <w:t>aprilie</w:t>
      </w:r>
      <w:proofErr w:type="spellEnd"/>
      <w:r>
        <w:t xml:space="preserve"> 2026)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cinci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rata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BIM.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dezvoltate</w:t>
      </w:r>
      <w:proofErr w:type="spellEnd"/>
      <w:r>
        <w:t xml:space="preserve">, </w:t>
      </w:r>
      <w:proofErr w:type="spellStart"/>
      <w:r>
        <w:t>printre</w:t>
      </w:r>
      <w:proofErr w:type="spellEnd"/>
      <w:r>
        <w:t xml:space="preserve"> care Sud-Vest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dificultatea</w:t>
      </w:r>
      <w:proofErr w:type="spellEnd"/>
      <w:r>
        <w:t xml:space="preserve"> </w:t>
      </w:r>
      <w:proofErr w:type="spellStart"/>
      <w:r>
        <w:t>tranziției</w:t>
      </w:r>
      <w:proofErr w:type="spellEnd"/>
      <w:r>
        <w:t xml:space="preserve"> de la </w:t>
      </w:r>
      <w:proofErr w:type="spellStart"/>
      <w:r>
        <w:t>școală</w:t>
      </w:r>
      <w:proofErr w:type="spellEnd"/>
      <w:r>
        <w:t xml:space="preserve"> la </w:t>
      </w:r>
      <w:proofErr w:type="spellStart"/>
      <w:r>
        <w:t>primul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accentuată</w:t>
      </w:r>
      <w:proofErr w:type="spellEnd"/>
      <w:r>
        <w:t>.</w:t>
      </w:r>
    </w:p>
    <w:p w14:paraId="44F26C83" w14:textId="77777777" w:rsidR="00B57A6D" w:rsidRDefault="00000000">
      <w:pPr>
        <w:spacing w:after="160" w:line="360" w:lineRule="auto"/>
        <w:jc w:val="both"/>
      </w:pPr>
      <w:proofErr w:type="spellStart"/>
      <w:r>
        <w:t>Specialiștii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avertizează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volumul</w:t>
      </w:r>
      <w:proofErr w:type="spellEnd"/>
      <w:r>
        <w:t xml:space="preserve">, ci </w:t>
      </w:r>
      <w:proofErr w:type="spellStart"/>
      <w:r>
        <w:t>durata</w:t>
      </w:r>
      <w:proofErr w:type="spellEnd"/>
      <w:r>
        <w:t xml:space="preserve">.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ocupație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. (Digi24, 22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lungă</w:t>
      </w:r>
      <w:proofErr w:type="spellEnd"/>
      <w:r>
        <w:t xml:space="preserve"> de </w:t>
      </w:r>
      <w:proofErr w:type="spellStart"/>
      <w:r>
        <w:t>inactivitate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vieții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are </w:t>
      </w:r>
      <w:proofErr w:type="spellStart"/>
      <w:r>
        <w:t>efecte</w:t>
      </w:r>
      <w:proofErr w:type="spellEnd"/>
      <w:r>
        <w:t xml:space="preserve"> de </w:t>
      </w:r>
      <w:proofErr w:type="spellStart"/>
      <w:r>
        <w:t>durată</w:t>
      </w:r>
      <w:proofErr w:type="spellEnd"/>
      <w:r>
        <w:t xml:space="preserve">: </w:t>
      </w:r>
      <w:proofErr w:type="spellStart"/>
      <w:r>
        <w:t>erodează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, </w:t>
      </w:r>
      <w:proofErr w:type="spellStart"/>
      <w:r>
        <w:t>descurajează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</w:t>
      </w:r>
      <w:proofErr w:type="spellStart"/>
      <w:r>
        <w:t>împinge</w:t>
      </w:r>
      <w:proofErr w:type="spellEnd"/>
      <w:r>
        <w:t xml:space="preserve"> </w:t>
      </w:r>
      <w:proofErr w:type="spellStart"/>
      <w:r>
        <w:t>tinerii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emigrare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emigrarea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calificați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pierdere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investește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lor,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beneficiile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se </w:t>
      </w:r>
      <w:proofErr w:type="spellStart"/>
      <w:r>
        <w:t>materializează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>.</w:t>
      </w:r>
    </w:p>
    <w:p w14:paraId="2339B1D0" w14:textId="77777777" w:rsidR="00B57A6D" w:rsidRDefault="00000000">
      <w:pPr>
        <w:spacing w:after="160" w:line="360" w:lineRule="auto"/>
        <w:jc w:val="both"/>
      </w:pPr>
      <w:r>
        <w:t xml:space="preserve">O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, </w:t>
      </w:r>
      <w:proofErr w:type="spellStart"/>
      <w:r>
        <w:t>urmărită</w:t>
      </w:r>
      <w:proofErr w:type="spellEnd"/>
      <w:r>
        <w:t xml:space="preserve"> </w:t>
      </w:r>
      <w:proofErr w:type="spellStart"/>
      <w:r>
        <w:t>atent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statisticile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a </w:t>
      </w:r>
      <w:proofErr w:type="spellStart"/>
      <w:r>
        <w:t>tinerilor</w:t>
      </w:r>
      <w:proofErr w:type="spellEnd"/>
      <w:r>
        <w:t xml:space="preserve"> care nu sunt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ocupare</w:t>
      </w:r>
      <w:proofErr w:type="spellEnd"/>
      <w:r>
        <w:t xml:space="preserve">,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, </w:t>
      </w:r>
      <w:proofErr w:type="spellStart"/>
      <w:r>
        <w:t>desemnați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inactivi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economic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.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forma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a </w:t>
      </w:r>
      <w:proofErr w:type="spellStart"/>
      <w:r>
        <w:t>problemei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nu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lucrează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se </w:t>
      </w:r>
      <w:proofErr w:type="spellStart"/>
      <w:r>
        <w:t>pregătesc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intra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riscând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rămână</w:t>
      </w:r>
      <w:proofErr w:type="spellEnd"/>
      <w:r>
        <w:t xml:space="preserve"> </w:t>
      </w:r>
      <w:proofErr w:type="spellStart"/>
      <w:r>
        <w:t>marginalizați</w:t>
      </w:r>
      <w:proofErr w:type="spellEnd"/>
      <w:r>
        <w:t xml:space="preserve"> pe termen lung.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regiunile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sărace</w:t>
      </w:r>
      <w:proofErr w:type="spellEnd"/>
      <w:r>
        <w:t xml:space="preserve">, </w:t>
      </w:r>
      <w:proofErr w:type="spellStart"/>
      <w:r>
        <w:t>printre</w:t>
      </w:r>
      <w:proofErr w:type="spellEnd"/>
      <w:r>
        <w:t xml:space="preserve"> care zone </w:t>
      </w:r>
      <w:proofErr w:type="spellStart"/>
      <w:r>
        <w:t>întinse</w:t>
      </w:r>
      <w:proofErr w:type="spellEnd"/>
      <w:r>
        <w:t xml:space="preserve"> din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media </w:t>
      </w:r>
      <w:proofErr w:type="spellStart"/>
      <w:r>
        <w:t>națională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ruperea</w:t>
      </w:r>
      <w:proofErr w:type="spellEnd"/>
      <w:r>
        <w:t xml:space="preserve"> lor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organizată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face </w:t>
      </w:r>
      <w:proofErr w:type="spellStart"/>
      <w:r>
        <w:t>deosebit</w:t>
      </w:r>
      <w:proofErr w:type="spellEnd"/>
      <w:r>
        <w:t xml:space="preserve"> de </w:t>
      </w:r>
      <w:proofErr w:type="spellStart"/>
      <w:r>
        <w:t>greu</w:t>
      </w:r>
      <w:proofErr w:type="spellEnd"/>
      <w:r>
        <w:t xml:space="preserve"> de </w:t>
      </w:r>
      <w:proofErr w:type="spellStart"/>
      <w:r>
        <w:t>reintegrat</w:t>
      </w:r>
      <w:proofErr w:type="spellEnd"/>
      <w:r>
        <w:t xml:space="preserve">.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dual, </w:t>
      </w:r>
      <w:proofErr w:type="spellStart"/>
      <w:r>
        <w:t>reintrodus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ani,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promițătoare</w:t>
      </w:r>
      <w:proofErr w:type="spellEnd"/>
      <w:r>
        <w:t xml:space="preserve"> </w:t>
      </w:r>
      <w:proofErr w:type="spellStart"/>
      <w:r>
        <w:t>căi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apropia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angajatorilor</w:t>
      </w:r>
      <w:proofErr w:type="spellEnd"/>
      <w:r>
        <w:t xml:space="preserve">, </w:t>
      </w:r>
      <w:proofErr w:type="spellStart"/>
      <w:r>
        <w:t>fiindcă</w:t>
      </w:r>
      <w:proofErr w:type="spellEnd"/>
      <w:r>
        <w:t xml:space="preserve"> </w:t>
      </w:r>
      <w:proofErr w:type="spellStart"/>
      <w:r>
        <w:t>îmbină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teoretică</w:t>
      </w:r>
      <w:proofErr w:type="spellEnd"/>
      <w:r>
        <w:t xml:space="preserve"> cu practica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creează</w:t>
      </w:r>
      <w:proofErr w:type="spellEnd"/>
      <w:r>
        <w:t xml:space="preserve"> o </w:t>
      </w:r>
      <w:proofErr w:type="spellStart"/>
      <w:r>
        <w:t>legătură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întreprindere</w:t>
      </w:r>
      <w:proofErr w:type="spellEnd"/>
      <w:r>
        <w:t xml:space="preserve">.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tip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parteneriat</w:t>
      </w:r>
      <w:proofErr w:type="spellEnd"/>
      <w:r>
        <w:t xml:space="preserve"> cu </w:t>
      </w:r>
      <w:proofErr w:type="spellStart"/>
      <w:r>
        <w:t>angajatorii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care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sudori</w:t>
      </w:r>
      <w:proofErr w:type="spellEnd"/>
      <w:r>
        <w:t xml:space="preserve">, </w:t>
      </w:r>
      <w:proofErr w:type="spellStart"/>
      <w:r>
        <w:t>electricieni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reduce </w:t>
      </w:r>
      <w:proofErr w:type="spellStart"/>
      <w:r>
        <w:t>treptat</w:t>
      </w:r>
      <w:proofErr w:type="spellEnd"/>
      <w:r>
        <w:t xml:space="preserve"> </w:t>
      </w:r>
      <w:proofErr w:type="spellStart"/>
      <w:r>
        <w:t>nepotrivirea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 care </w:t>
      </w:r>
      <w:proofErr w:type="spellStart"/>
      <w:r>
        <w:t>blochează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.</w:t>
      </w:r>
    </w:p>
    <w:p w14:paraId="77673254" w14:textId="77777777" w:rsidR="00B57A6D" w:rsidRDefault="00000000">
      <w:pPr>
        <w:pStyle w:val="Heading1"/>
        <w:pageBreakBefore/>
      </w:pPr>
      <w:bookmarkStart w:id="19" w:name="_Toc232697854"/>
      <w:r>
        <w:lastRenderedPageBreak/>
        <w:t xml:space="preserve">13.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politicile</w:t>
      </w:r>
      <w:proofErr w:type="spellEnd"/>
      <w:r>
        <w:t xml:space="preserve"> active</w:t>
      </w:r>
      <w:bookmarkEnd w:id="19"/>
    </w:p>
    <w:p w14:paraId="4D02C271" w14:textId="77777777" w:rsidR="00B57A6D" w:rsidRDefault="00000000">
      <w:pPr>
        <w:spacing w:after="160" w:line="360" w:lineRule="auto"/>
        <w:jc w:val="both"/>
      </w:pP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a </w:t>
      </w:r>
      <w:proofErr w:type="spellStart"/>
      <w:r>
        <w:t>confirmat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declinul</w:t>
      </w:r>
      <w:proofErr w:type="spellEnd"/>
      <w:r>
        <w:t xml:space="preserve"> </w:t>
      </w:r>
      <w:proofErr w:type="spellStart"/>
      <w:r>
        <w:t>mineritului</w:t>
      </w:r>
      <w:proofErr w:type="spellEnd"/>
      <w:r>
        <w:t xml:space="preserve">, </w:t>
      </w:r>
      <w:proofErr w:type="spellStart"/>
      <w:r>
        <w:t>depinde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măsură</w:t>
      </w:r>
      <w:proofErr w:type="spellEnd"/>
      <w:r>
        <w:t xml:space="preserve"> de </w:t>
      </w:r>
      <w:proofErr w:type="spellStart"/>
      <w:r>
        <w:t>absorbția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.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instrumentul</w:t>
      </w:r>
      <w:proofErr w:type="spellEnd"/>
      <w:r>
        <w:t xml:space="preserve"> central </w:t>
      </w:r>
      <w:proofErr w:type="spellStart"/>
      <w:r>
        <w:t>pentru</w:t>
      </w:r>
      <w:proofErr w:type="spellEnd"/>
      <w:r>
        <w:t xml:space="preserve"> Gorj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parțial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restructurarea</w:t>
      </w:r>
      <w:proofErr w:type="spellEnd"/>
      <w:r>
        <w:t xml:space="preserve"> </w:t>
      </w:r>
      <w:proofErr w:type="spellStart"/>
      <w:r>
        <w:t>industrială</w:t>
      </w:r>
      <w:proofErr w:type="spellEnd"/>
      <w:r>
        <w:t xml:space="preserve">.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89 de </w:t>
      </w:r>
      <w:proofErr w:type="spellStart"/>
      <w:r>
        <w:t>întreprinderi</w:t>
      </w:r>
      <w:proofErr w:type="spellEnd"/>
      <w:r>
        <w:t xml:space="preserve"> care </w:t>
      </w:r>
      <w:proofErr w:type="spellStart"/>
      <w:r>
        <w:t>depuseseră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pe </w:t>
      </w:r>
      <w:proofErr w:type="spellStart"/>
      <w:r>
        <w:t>acest</w:t>
      </w:r>
      <w:proofErr w:type="spellEnd"/>
      <w:r>
        <w:t xml:space="preserve"> fond </w:t>
      </w:r>
      <w:proofErr w:type="spellStart"/>
      <w:r>
        <w:t>prevedeau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a 1.572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doar</w:t>
      </w:r>
      <w:proofErr w:type="spellEnd"/>
      <w:r>
        <w:t xml:space="preserve"> 31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create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raportării</w:t>
      </w:r>
      <w:proofErr w:type="spellEnd"/>
      <w:r>
        <w:t xml:space="preserve">. (Radio </w:t>
      </w:r>
      <w:proofErr w:type="spellStart"/>
      <w:r>
        <w:t>Infinit</w:t>
      </w:r>
      <w:proofErr w:type="spellEnd"/>
      <w:r>
        <w:t xml:space="preserve">, 24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promisiune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realizare</w:t>
      </w:r>
      <w:proofErr w:type="spellEnd"/>
      <w:r>
        <w:t xml:space="preserve">, de </w:t>
      </w:r>
      <w:proofErr w:type="spellStart"/>
      <w:r>
        <w:t>aproximativ</w:t>
      </w:r>
      <w:proofErr w:type="spellEnd"/>
      <w:r>
        <w:t xml:space="preserve"> </w:t>
      </w:r>
      <w:proofErr w:type="spellStart"/>
      <w:r>
        <w:t>cincizeci</w:t>
      </w:r>
      <w:proofErr w:type="spellEnd"/>
      <w:r>
        <w:t xml:space="preserve"> la </w:t>
      </w:r>
      <w:proofErr w:type="spellStart"/>
      <w:r>
        <w:t>unu</w:t>
      </w:r>
      <w:proofErr w:type="spellEnd"/>
      <w:r>
        <w:t xml:space="preserve">, </w:t>
      </w:r>
      <w:proofErr w:type="spellStart"/>
      <w:r>
        <w:t>măsoară</w:t>
      </w:r>
      <w:proofErr w:type="spellEnd"/>
      <w:r>
        <w:t xml:space="preserve">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intenția</w:t>
      </w:r>
      <w:proofErr w:type="spellEnd"/>
      <w:r>
        <w:t xml:space="preserve"> </w:t>
      </w:r>
      <w:proofErr w:type="spellStart"/>
      <w:r>
        <w:t>politicilor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efectul</w:t>
      </w:r>
      <w:proofErr w:type="spellEnd"/>
      <w:r>
        <w:t xml:space="preserve"> lor </w:t>
      </w:r>
      <w:proofErr w:type="spellStart"/>
      <w:r>
        <w:t>concret</w:t>
      </w:r>
      <w:proofErr w:type="spellEnd"/>
      <w:r>
        <w:t>.</w:t>
      </w:r>
    </w:p>
    <w:p w14:paraId="7DEA418A" w14:textId="77777777" w:rsidR="00B57A6D" w:rsidRDefault="00000000">
      <w:pPr>
        <w:spacing w:after="160" w:line="360" w:lineRule="auto"/>
        <w:jc w:val="both"/>
      </w:pPr>
      <w:r>
        <w:t xml:space="preserve">Pe </w:t>
      </w:r>
      <w:proofErr w:type="spellStart"/>
      <w:r>
        <w:t>lângă</w:t>
      </w:r>
      <w:proofErr w:type="spellEnd"/>
      <w:r>
        <w:t xml:space="preserve">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,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Programul</w:t>
      </w:r>
      <w:proofErr w:type="spellEnd"/>
      <w:r>
        <w:t xml:space="preserve"> Regional Sud-Vest </w:t>
      </w:r>
      <w:proofErr w:type="spellStart"/>
      <w:r>
        <w:t>Oltenia</w:t>
      </w:r>
      <w:proofErr w:type="spellEnd"/>
      <w:r>
        <w:t xml:space="preserve"> 2021–2027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programele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dedicate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. (ADR Sud-Vest </w:t>
      </w:r>
      <w:proofErr w:type="spellStart"/>
      <w:r>
        <w:t>Oltenia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peste</w:t>
      </w:r>
      <w:proofErr w:type="spellEnd"/>
      <w:r>
        <w:t xml:space="preserve"> 600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începuseră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cofinanțat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mecanismul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nu la </w:t>
      </w:r>
      <w:proofErr w:type="spellStart"/>
      <w:r>
        <w:t>scara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. </w:t>
      </w:r>
      <w:proofErr w:type="spellStart"/>
      <w:r>
        <w:t>Absorbția</w:t>
      </w:r>
      <w:proofErr w:type="spellEnd"/>
      <w:r>
        <w:t xml:space="preserve"> </w:t>
      </w:r>
      <w:proofErr w:type="spellStart"/>
      <w:r>
        <w:t>eficientă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>.</w:t>
      </w:r>
    </w:p>
    <w:p w14:paraId="1EE138D5" w14:textId="77777777" w:rsidR="00B57A6D" w:rsidRDefault="00000000">
      <w:pPr>
        <w:spacing w:after="160" w:line="360" w:lineRule="auto"/>
        <w:jc w:val="both"/>
      </w:pPr>
      <w:proofErr w:type="spellStart"/>
      <w:r>
        <w:t>Politicile</w:t>
      </w:r>
      <w:proofErr w:type="spellEnd"/>
      <w:r>
        <w:t xml:space="preserve"> active de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cuprind</w:t>
      </w:r>
      <w:proofErr w:type="spellEnd"/>
      <w:r>
        <w:t xml:space="preserve"> o </w:t>
      </w:r>
      <w:proofErr w:type="spellStart"/>
      <w:r>
        <w:t>gamă</w:t>
      </w:r>
      <w:proofErr w:type="spellEnd"/>
      <w:r>
        <w:t xml:space="preserve"> </w:t>
      </w:r>
      <w:proofErr w:type="spellStart"/>
      <w:r>
        <w:t>largă</w:t>
      </w:r>
      <w:proofErr w:type="spellEnd"/>
      <w:r>
        <w:t xml:space="preserve"> de </w:t>
      </w:r>
      <w:proofErr w:type="spellStart"/>
      <w:r>
        <w:t>instrumente</w:t>
      </w:r>
      <w:proofErr w:type="spellEnd"/>
      <w:r>
        <w:t xml:space="preserve">: </w:t>
      </w:r>
      <w:proofErr w:type="spellStart"/>
      <w:r>
        <w:t>medierea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cursurile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recalificare</w:t>
      </w:r>
      <w:proofErr w:type="spellEnd"/>
      <w:r>
        <w:t xml:space="preserve">, </w:t>
      </w:r>
      <w:proofErr w:type="spellStart"/>
      <w:r>
        <w:t>subvențiile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care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șomeri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handicap, </w:t>
      </w:r>
      <w:proofErr w:type="spellStart"/>
      <w:r>
        <w:t>tineri</w:t>
      </w:r>
      <w:proofErr w:type="spellEnd"/>
      <w:r>
        <w:t xml:space="preserve"> </w:t>
      </w:r>
      <w:proofErr w:type="spellStart"/>
      <w:r>
        <w:t>vulnerabili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apropiate</w:t>
      </w:r>
      <w:proofErr w:type="spellEnd"/>
      <w:r>
        <w:t xml:space="preserve"> de </w:t>
      </w:r>
      <w:proofErr w:type="spellStart"/>
      <w:r>
        <w:t>pensionare</w:t>
      </w:r>
      <w:proofErr w:type="spellEnd"/>
      <w:r>
        <w:t xml:space="preserve">, </w:t>
      </w:r>
      <w:proofErr w:type="spellStart"/>
      <w:r>
        <w:t>primele</w:t>
      </w:r>
      <w:proofErr w:type="spellEnd"/>
      <w:r>
        <w:t xml:space="preserve"> de </w:t>
      </w:r>
      <w:proofErr w:type="spellStart"/>
      <w:r>
        <w:t>mobilitate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dispuși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mute </w:t>
      </w:r>
      <w:proofErr w:type="spellStart"/>
      <w:r>
        <w:t>pentru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creditele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avantajoase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care </w:t>
      </w:r>
      <w:proofErr w:type="spellStart"/>
      <w:r>
        <w:t>creează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însele</w:t>
      </w:r>
      <w:proofErr w:type="spellEnd"/>
      <w:r>
        <w:t xml:space="preserve">. Ele pot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întâlnirea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ofertă</w:t>
      </w:r>
      <w:proofErr w:type="spellEnd"/>
      <w:r>
        <w:t xml:space="preserve">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, </w:t>
      </w:r>
      <w:proofErr w:type="spellStart"/>
      <w:r>
        <w:t>însă</w:t>
      </w:r>
      <w:proofErr w:type="spellEnd"/>
      <w:r>
        <w:t xml:space="preserve"> nu pot </w:t>
      </w:r>
      <w:proofErr w:type="spellStart"/>
      <w:r>
        <w:t>crea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nu o </w:t>
      </w:r>
      <w:proofErr w:type="spellStart"/>
      <w:r>
        <w:t>generează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cu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declin</w:t>
      </w:r>
      <w:proofErr w:type="spellEnd"/>
      <w:r>
        <w:t xml:space="preserve">, </w:t>
      </w:r>
      <w:proofErr w:type="spellStart"/>
      <w:r>
        <w:t>subvenția</w:t>
      </w:r>
      <w:proofErr w:type="spellEnd"/>
      <w:r>
        <w:t xml:space="preserve"> </w:t>
      </w:r>
      <w:proofErr w:type="spellStart"/>
      <w:r>
        <w:t>acoperă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salarial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sprijinului</w:t>
      </w:r>
      <w:proofErr w:type="spellEnd"/>
      <w:r>
        <w:t>.</w:t>
      </w:r>
    </w:p>
    <w:p w14:paraId="66910667" w14:textId="39BC723E" w:rsidR="00B57A6D" w:rsidRDefault="00B57A6D" w:rsidP="009A0720">
      <w:pPr>
        <w:pageBreakBefore/>
        <w:spacing w:after="60"/>
      </w:pPr>
    </w:p>
    <w:p w14:paraId="64AF8232" w14:textId="77777777" w:rsidR="00B57A6D" w:rsidRDefault="00000000">
      <w:pPr>
        <w:pStyle w:val="Heading1"/>
      </w:pPr>
      <w:bookmarkStart w:id="20" w:name="_Toc232697855"/>
      <w:r>
        <w:t xml:space="preserve">14. </w:t>
      </w:r>
      <w:proofErr w:type="spellStart"/>
      <w:r>
        <w:t>Sectoarele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care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apasă</w:t>
      </w:r>
      <w:proofErr w:type="spellEnd"/>
      <w:r>
        <w:t xml:space="preserve"> </w:t>
      </w:r>
      <w:proofErr w:type="spellStart"/>
      <w:r>
        <w:t>ocuparea</w:t>
      </w:r>
      <w:bookmarkEnd w:id="20"/>
      <w:proofErr w:type="spellEnd"/>
    </w:p>
    <w:p w14:paraId="3C229DC4" w14:textId="77777777" w:rsidR="00B57A6D" w:rsidRDefault="00000000">
      <w:pPr>
        <w:spacing w:after="160" w:line="360" w:lineRule="auto"/>
        <w:jc w:val="both"/>
      </w:pPr>
      <w:r>
        <w:t xml:space="preserve">Cifra </w:t>
      </w:r>
      <w:proofErr w:type="spellStart"/>
      <w:r>
        <w:t>rezumativă</w:t>
      </w:r>
      <w:proofErr w:type="spellEnd"/>
      <w:r>
        <w:t xml:space="preserve"> a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ascunde</w:t>
      </w:r>
      <w:proofErr w:type="spellEnd"/>
      <w:r>
        <w:t xml:space="preserve"> o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diferită</w:t>
      </w:r>
      <w:proofErr w:type="spellEnd"/>
      <w:r>
        <w:t xml:space="preserve"> de la un </w:t>
      </w:r>
      <w:proofErr w:type="spellStart"/>
      <w:r>
        <w:t>județ</w:t>
      </w:r>
      <w:proofErr w:type="spellEnd"/>
      <w:r>
        <w:t xml:space="preserve"> la </w:t>
      </w:r>
      <w:proofErr w:type="spellStart"/>
      <w:r>
        <w:t>altul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înțelegerea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din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arată</w:t>
      </w:r>
      <w:proofErr w:type="spellEnd"/>
      <w:r>
        <w:t xml:space="preserve">. </w:t>
      </w: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nu </w:t>
      </w:r>
      <w:proofErr w:type="gramStart"/>
      <w:r>
        <w:t>are</w:t>
      </w:r>
      <w:proofErr w:type="gramEnd"/>
      <w:r>
        <w:t xml:space="preserve">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unitară</w:t>
      </w:r>
      <w:proofErr w:type="spellEnd"/>
      <w:r>
        <w:t xml:space="preserve">, ci o </w:t>
      </w:r>
      <w:proofErr w:type="spellStart"/>
      <w:r>
        <w:t>juxtapunere</w:t>
      </w:r>
      <w:proofErr w:type="spellEnd"/>
      <w:r>
        <w:t xml:space="preserve"> de </w:t>
      </w:r>
      <w:proofErr w:type="spellStart"/>
      <w:r>
        <w:t>profiluri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</w:t>
      </w:r>
      <w:proofErr w:type="spellStart"/>
      <w:r>
        <w:t>moștenite</w:t>
      </w:r>
      <w:proofErr w:type="spellEnd"/>
      <w:r>
        <w:t xml:space="preserve">, </w:t>
      </w:r>
      <w:proofErr w:type="spellStart"/>
      <w:r>
        <w:t>unele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expansiune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declin</w:t>
      </w:r>
      <w:proofErr w:type="spellEnd"/>
      <w:r>
        <w:t xml:space="preserve"> </w:t>
      </w:r>
      <w:proofErr w:type="spellStart"/>
      <w:r>
        <w:t>accelerat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poartă</w:t>
      </w:r>
      <w:proofErr w:type="spellEnd"/>
      <w:r>
        <w:t xml:space="preserve"> </w:t>
      </w:r>
      <w:proofErr w:type="spellStart"/>
      <w:r>
        <w:t>amprenta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moșteniri</w:t>
      </w:r>
      <w:proofErr w:type="spellEnd"/>
      <w:r>
        <w:t xml:space="preserve">. </w:t>
      </w:r>
      <w:proofErr w:type="spellStart"/>
      <w:r>
        <w:t>Posturile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de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 nu sunt </w:t>
      </w:r>
      <w:proofErr w:type="spellStart"/>
      <w:r>
        <w:t>aleatorii</w:t>
      </w:r>
      <w:proofErr w:type="spellEnd"/>
      <w:r>
        <w:t xml:space="preserve">; </w:t>
      </w:r>
      <w:proofErr w:type="spellStart"/>
      <w:r>
        <w:t>ele</w:t>
      </w:r>
      <w:proofErr w:type="spellEnd"/>
      <w:r>
        <w:t xml:space="preserve"> </w:t>
      </w:r>
      <w:proofErr w:type="spellStart"/>
      <w:r>
        <w:t>desenează</w:t>
      </w:r>
      <w:proofErr w:type="spellEnd"/>
      <w:r>
        <w:t xml:space="preserve">, </w:t>
      </w:r>
      <w:proofErr w:type="spellStart"/>
      <w:r>
        <w:t>profesie</w:t>
      </w:r>
      <w:proofErr w:type="spellEnd"/>
      <w:r>
        <w:t xml:space="preserve"> cu </w:t>
      </w:r>
      <w:proofErr w:type="spellStart"/>
      <w:r>
        <w:t>profesie</w:t>
      </w:r>
      <w:proofErr w:type="spellEnd"/>
      <w:r>
        <w:t xml:space="preserve">,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a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.</w:t>
      </w:r>
    </w:p>
    <w:p w14:paraId="170B4DBC" w14:textId="77777777" w:rsidR="00B57A6D" w:rsidRDefault="00000000">
      <w:pPr>
        <w:spacing w:after="160" w:line="360" w:lineRule="auto"/>
        <w:jc w:val="both"/>
      </w:pPr>
      <w:r>
        <w:t xml:space="preserve">Industria </w:t>
      </w:r>
      <w:proofErr w:type="spellStart"/>
      <w:r>
        <w:t>construcțiilor</w:t>
      </w:r>
      <w:proofErr w:type="spellEnd"/>
      <w:r>
        <w:t xml:space="preserve"> </w:t>
      </w:r>
      <w:proofErr w:type="spellStart"/>
      <w:r>
        <w:t>navale</w:t>
      </w:r>
      <w:proofErr w:type="spellEnd"/>
      <w:r>
        <w:t xml:space="preserve"> </w:t>
      </w:r>
      <w:proofErr w:type="spellStart"/>
      <w:r>
        <w:t>apare</w:t>
      </w:r>
      <w:proofErr w:type="spellEnd"/>
      <w:r>
        <w:t xml:space="preserve"> cu o </w:t>
      </w:r>
      <w:proofErr w:type="spellStart"/>
      <w:r>
        <w:t>claritate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din </w:t>
      </w:r>
      <w:proofErr w:type="spellStart"/>
      <w:r>
        <w:t>Mehedinți</w:t>
      </w:r>
      <w:proofErr w:type="spellEnd"/>
      <w:r>
        <w:t xml:space="preserve">. </w:t>
      </w:r>
      <w:proofErr w:type="spellStart"/>
      <w:r>
        <w:t>Printre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168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meserii</w:t>
      </w:r>
      <w:proofErr w:type="spellEnd"/>
      <w:r>
        <w:t xml:space="preserve"> precum </w:t>
      </w:r>
      <w:proofErr w:type="spellStart"/>
      <w:r>
        <w:t>lăcătuș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navale</w:t>
      </w:r>
      <w:proofErr w:type="spellEnd"/>
      <w:r>
        <w:t xml:space="preserve">, </w:t>
      </w:r>
      <w:proofErr w:type="spellStart"/>
      <w:r>
        <w:t>tubulator</w:t>
      </w:r>
      <w:proofErr w:type="spellEnd"/>
      <w:r>
        <w:t xml:space="preserve"> naval </w:t>
      </w:r>
      <w:proofErr w:type="spellStart"/>
      <w:r>
        <w:t>sau</w:t>
      </w:r>
      <w:proofErr w:type="spellEnd"/>
      <w:r>
        <w:t xml:space="preserve"> sudor </w:t>
      </w:r>
      <w:proofErr w:type="spellStart"/>
      <w:r>
        <w:t>ocupau</w:t>
      </w:r>
      <w:proofErr w:type="spellEnd"/>
      <w:r>
        <w:t xml:space="preserve"> un loc important,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operatori</w:t>
      </w:r>
      <w:proofErr w:type="spellEnd"/>
      <w:r>
        <w:t xml:space="preserve"> de </w:t>
      </w:r>
      <w:proofErr w:type="spellStart"/>
      <w:r>
        <w:t>cablaje</w:t>
      </w:r>
      <w:proofErr w:type="spellEnd"/>
      <w:r>
        <w:t xml:space="preserve">, </w:t>
      </w:r>
      <w:proofErr w:type="spellStart"/>
      <w:r>
        <w:t>lăcătuși</w:t>
      </w:r>
      <w:proofErr w:type="spellEnd"/>
      <w:r>
        <w:t xml:space="preserve"> </w:t>
      </w:r>
      <w:proofErr w:type="spellStart"/>
      <w:r>
        <w:t>mecanici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electricieni</w:t>
      </w:r>
      <w:proofErr w:type="spellEnd"/>
      <w:r>
        <w:t xml:space="preserve">. (AJOFM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concentrare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la </w:t>
      </w:r>
      <w:proofErr w:type="spellStart"/>
      <w:r>
        <w:t>Drobeta-Turnu</w:t>
      </w:r>
      <w:proofErr w:type="spellEnd"/>
      <w:r>
        <w:t xml:space="preserve"> Severin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vecinătatea</w:t>
      </w:r>
      <w:proofErr w:type="spellEnd"/>
      <w:r>
        <w:t xml:space="preserve"> </w:t>
      </w:r>
      <w:proofErr w:type="spellStart"/>
      <w:r>
        <w:t>Dunării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șantierele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metalurgică</w:t>
      </w:r>
      <w:proofErr w:type="spellEnd"/>
      <w:r>
        <w:t xml:space="preserve">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semnificativi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 </w:t>
      </w:r>
      <w:proofErr w:type="spellStart"/>
      <w:r>
        <w:t>marcat</w:t>
      </w:r>
      <w:proofErr w:type="spellEnd"/>
      <w:r>
        <w:t xml:space="preserve"> de un </w:t>
      </w:r>
      <w:proofErr w:type="spellStart"/>
      <w:r>
        <w:t>șomaj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.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meserii</w:t>
      </w:r>
      <w:proofErr w:type="spellEnd"/>
      <w:r>
        <w:t xml:space="preserve"> </w:t>
      </w:r>
      <w:proofErr w:type="spellStart"/>
      <w:r>
        <w:t>calificate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 cu o </w:t>
      </w:r>
      <w:proofErr w:type="spellStart"/>
      <w:r>
        <w:t>rată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opt </w:t>
      </w:r>
      <w:proofErr w:type="spellStart"/>
      <w:r>
        <w:t>procente</w:t>
      </w:r>
      <w:proofErr w:type="spellEnd"/>
      <w:r>
        <w:t xml:space="preserve">,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Mehedințiului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ci </w:t>
      </w:r>
      <w:proofErr w:type="spellStart"/>
      <w:r>
        <w:t>nepotrivirea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calificările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șomaj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angajatorilor</w:t>
      </w:r>
      <w:proofErr w:type="spellEnd"/>
      <w:r>
        <w:t>.</w:t>
      </w:r>
    </w:p>
    <w:p w14:paraId="27B1DD7F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Dolj,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diversificată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trădează</w:t>
      </w:r>
      <w:proofErr w:type="spellEnd"/>
      <w:r>
        <w:t xml:space="preserve">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urbană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complexă</w:t>
      </w:r>
      <w:proofErr w:type="spellEnd"/>
      <w:r>
        <w:t xml:space="preserve">, </w:t>
      </w:r>
      <w:proofErr w:type="spellStart"/>
      <w:r>
        <w:t>gravitând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Craiovei</w:t>
      </w:r>
      <w:proofErr w:type="spellEnd"/>
      <w:r>
        <w:t xml:space="preserve">. Cele 190 de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comunicate</w:t>
      </w:r>
      <w:proofErr w:type="spellEnd"/>
      <w:r>
        <w:t xml:space="preserve"> la </w:t>
      </w:r>
      <w:proofErr w:type="spellStart"/>
      <w:r>
        <w:t>jumătatea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 </w:t>
      </w:r>
      <w:proofErr w:type="spellStart"/>
      <w:r>
        <w:t>acopereau</w:t>
      </w:r>
      <w:proofErr w:type="spellEnd"/>
      <w:r>
        <w:t xml:space="preserve"> </w:t>
      </w:r>
      <w:proofErr w:type="spellStart"/>
      <w:r>
        <w:t>întregul</w:t>
      </w:r>
      <w:proofErr w:type="spellEnd"/>
      <w:r>
        <w:t xml:space="preserve"> </w:t>
      </w:r>
      <w:proofErr w:type="spellStart"/>
      <w:r>
        <w:t>spectru</w:t>
      </w:r>
      <w:proofErr w:type="spellEnd"/>
      <w:r>
        <w:t xml:space="preserve">, de la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precum expert </w:t>
      </w:r>
      <w:proofErr w:type="spellStart"/>
      <w:r>
        <w:t>achiziții</w:t>
      </w:r>
      <w:proofErr w:type="spellEnd"/>
      <w:r>
        <w:t xml:space="preserve">, manager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programator</w:t>
      </w:r>
      <w:proofErr w:type="spellEnd"/>
      <w:r>
        <w:t xml:space="preserve">, </w:t>
      </w:r>
      <w:proofErr w:type="spellStart"/>
      <w:r>
        <w:t>inginer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meserii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 </w:t>
      </w:r>
      <w:proofErr w:type="spellStart"/>
      <w:r>
        <w:t>căutate</w:t>
      </w:r>
      <w:proofErr w:type="spellEnd"/>
      <w:r>
        <w:t xml:space="preserve"> constant: sudor, electrician, </w:t>
      </w:r>
      <w:proofErr w:type="spellStart"/>
      <w:r>
        <w:t>lăcătuș</w:t>
      </w:r>
      <w:proofErr w:type="spellEnd"/>
      <w:r>
        <w:t xml:space="preserve">, operator la </w:t>
      </w:r>
      <w:proofErr w:type="spellStart"/>
      <w:r>
        <w:t>mașini</w:t>
      </w:r>
      <w:proofErr w:type="spellEnd"/>
      <w:r>
        <w:t xml:space="preserve"> cu </w:t>
      </w:r>
      <w:proofErr w:type="spellStart"/>
      <w:r>
        <w:t>comandă</w:t>
      </w:r>
      <w:proofErr w:type="spellEnd"/>
      <w:r>
        <w:t xml:space="preserve"> </w:t>
      </w:r>
      <w:proofErr w:type="spellStart"/>
      <w:r>
        <w:t>numerică</w:t>
      </w:r>
      <w:proofErr w:type="spellEnd"/>
      <w:r>
        <w:t xml:space="preserve">, agent de </w:t>
      </w:r>
      <w:proofErr w:type="spellStart"/>
      <w:r>
        <w:t>vânzări</w:t>
      </w:r>
      <w:proofErr w:type="spellEnd"/>
      <w:r>
        <w:t xml:space="preserve">, </w:t>
      </w:r>
      <w:proofErr w:type="spellStart"/>
      <w:r>
        <w:t>asistent</w:t>
      </w:r>
      <w:proofErr w:type="spellEnd"/>
      <w:r>
        <w:t xml:space="preserve"> medical, </w:t>
      </w:r>
      <w:proofErr w:type="spellStart"/>
      <w:r>
        <w:t>șofer</w:t>
      </w:r>
      <w:proofErr w:type="spellEnd"/>
      <w:r>
        <w:t xml:space="preserve">. (AJOFM Dolj,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programatori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ingineri</w:t>
      </w:r>
      <w:proofErr w:type="spellEnd"/>
      <w:r>
        <w:t xml:space="preserve">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producție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polul</w:t>
      </w:r>
      <w:proofErr w:type="spellEnd"/>
      <w:r>
        <w:t xml:space="preserve"> </w:t>
      </w:r>
      <w:proofErr w:type="spellStart"/>
      <w:r>
        <w:t>craiovean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un </w:t>
      </w:r>
      <w:proofErr w:type="spellStart"/>
      <w:r>
        <w:t>nucleu</w:t>
      </w:r>
      <w:proofErr w:type="spellEnd"/>
      <w:r>
        <w:t xml:space="preserve"> de </w:t>
      </w:r>
      <w:proofErr w:type="spellStart"/>
      <w:r>
        <w:t>industrie</w:t>
      </w:r>
      <w:proofErr w:type="spellEnd"/>
      <w:r>
        <w:t xml:space="preserve"> </w:t>
      </w:r>
      <w:proofErr w:type="spellStart"/>
      <w:r>
        <w:t>prelucrătoare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care cere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medii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înalte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semnificativă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necalificate</w:t>
      </w:r>
      <w:proofErr w:type="spellEnd"/>
      <w:r>
        <w:t xml:space="preserve"> din </w:t>
      </w:r>
      <w:proofErr w:type="spellStart"/>
      <w:r>
        <w:t>producție</w:t>
      </w:r>
      <w:proofErr w:type="spellEnd"/>
      <w:r>
        <w:t xml:space="preserve">, </w:t>
      </w:r>
      <w:proofErr w:type="spellStart"/>
      <w:r>
        <w:t>curățenie</w:t>
      </w:r>
      <w:proofErr w:type="spellEnd"/>
      <w:r>
        <w:t xml:space="preserve">, </w:t>
      </w:r>
      <w:proofErr w:type="spellStart"/>
      <w:r>
        <w:t>agricultură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>.</w:t>
      </w:r>
    </w:p>
    <w:p w14:paraId="6D8B0D74" w14:textId="77777777" w:rsidR="00B57A6D" w:rsidRDefault="00000000">
      <w:pPr>
        <w:spacing w:after="160" w:line="360" w:lineRule="auto"/>
        <w:jc w:val="both"/>
      </w:pPr>
      <w:r>
        <w:t xml:space="preserve">La </w:t>
      </w:r>
      <w:proofErr w:type="spellStart"/>
      <w:r>
        <w:t>polul</w:t>
      </w:r>
      <w:proofErr w:type="spellEnd"/>
      <w:r>
        <w:t xml:space="preserve"> opus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Gorjul</w:t>
      </w:r>
      <w:proofErr w:type="spellEnd"/>
      <w:r>
        <w:t xml:space="preserve">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declinul</w:t>
      </w:r>
      <w:proofErr w:type="spellEnd"/>
      <w:r>
        <w:t xml:space="preserve"> </w:t>
      </w:r>
      <w:proofErr w:type="spellStart"/>
      <w:r>
        <w:t>mineritului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producției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cărbune</w:t>
      </w:r>
      <w:proofErr w:type="spellEnd"/>
      <w:r>
        <w:t xml:space="preserve"> </w:t>
      </w:r>
      <w:proofErr w:type="spellStart"/>
      <w:r>
        <w:t>apasă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  <w:proofErr w:type="spellStart"/>
      <w:r>
        <w:t>Trimiterea</w:t>
      </w:r>
      <w:proofErr w:type="spellEnd"/>
      <w:r>
        <w:t xml:space="preserve"> </w:t>
      </w:r>
      <w:proofErr w:type="spellStart"/>
      <w:r>
        <w:t>acasă</w:t>
      </w:r>
      <w:proofErr w:type="spellEnd"/>
      <w:r>
        <w:t xml:space="preserve">, de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a </w:t>
      </w:r>
      <w:proofErr w:type="spellStart"/>
      <w:r>
        <w:t>minerilor</w:t>
      </w:r>
      <w:proofErr w:type="spellEnd"/>
      <w:r>
        <w:t xml:space="preserve"> cu </w:t>
      </w:r>
      <w:proofErr w:type="spellStart"/>
      <w:r>
        <w:t>contracte</w:t>
      </w:r>
      <w:proofErr w:type="spellEnd"/>
      <w:r>
        <w:t xml:space="preserve"> pe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determinată</w:t>
      </w:r>
      <w:proofErr w:type="spellEnd"/>
      <w:r>
        <w:t xml:space="preserve"> a </w:t>
      </w:r>
      <w:proofErr w:type="spellStart"/>
      <w:r>
        <w:t>îngroșat</w:t>
      </w:r>
      <w:proofErr w:type="spellEnd"/>
      <w:r>
        <w:t xml:space="preserve"> </w:t>
      </w:r>
      <w:proofErr w:type="spellStart"/>
      <w:r>
        <w:t>brusc</w:t>
      </w:r>
      <w:proofErr w:type="spellEnd"/>
      <w:r>
        <w:t xml:space="preserve"> </w:t>
      </w:r>
      <w:proofErr w:type="spellStart"/>
      <w:r>
        <w:t>rândurile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închiderea</w:t>
      </w:r>
      <w:proofErr w:type="spellEnd"/>
      <w:r>
        <w:t xml:space="preserve"> a circa </w:t>
      </w:r>
      <w:proofErr w:type="spellStart"/>
      <w:r>
        <w:t>patru</w:t>
      </w:r>
      <w:proofErr w:type="spellEnd"/>
      <w:r>
        <w:t xml:space="preserve"> </w:t>
      </w:r>
      <w:proofErr w:type="spellStart"/>
      <w:r>
        <w:lastRenderedPageBreak/>
        <w:t>sute</w:t>
      </w:r>
      <w:proofErr w:type="spellEnd"/>
      <w:r>
        <w:t xml:space="preserve"> de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ani a </w:t>
      </w:r>
      <w:proofErr w:type="spellStart"/>
      <w:r>
        <w:t>însemnat</w:t>
      </w:r>
      <w:proofErr w:type="spellEnd"/>
      <w:r>
        <w:t xml:space="preserve"> </w:t>
      </w:r>
      <w:proofErr w:type="spellStart"/>
      <w:r>
        <w:t>pierderea</w:t>
      </w:r>
      <w:proofErr w:type="spellEnd"/>
      <w:r>
        <w:t xml:space="preserve"> a mii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. (Radio </w:t>
      </w:r>
      <w:proofErr w:type="spellStart"/>
      <w:r>
        <w:t>Infinit</w:t>
      </w:r>
      <w:proofErr w:type="spellEnd"/>
      <w:r>
        <w:t xml:space="preserve">, 24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Aici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nu </w:t>
      </w:r>
      <w:proofErr w:type="spellStart"/>
      <w:r>
        <w:t>ține</w:t>
      </w:r>
      <w:proofErr w:type="spellEnd"/>
      <w:r>
        <w:t xml:space="preserve"> de o </w:t>
      </w:r>
      <w:proofErr w:type="spellStart"/>
      <w:r>
        <w:t>nepotrivire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, ci de </w:t>
      </w:r>
      <w:proofErr w:type="spellStart"/>
      <w:r>
        <w:t>dispariția</w:t>
      </w:r>
      <w:proofErr w:type="spellEnd"/>
      <w:r>
        <w:t xml:space="preserve"> </w:t>
      </w:r>
      <w:proofErr w:type="spellStart"/>
      <w:r>
        <w:t>propriu-zisă</w:t>
      </w:r>
      <w:proofErr w:type="spellEnd"/>
      <w:r>
        <w:t xml:space="preserve"> a </w:t>
      </w:r>
      <w:proofErr w:type="spellStart"/>
      <w:r>
        <w:t>cererii</w:t>
      </w:r>
      <w:proofErr w:type="spellEnd"/>
      <w:r>
        <w:t xml:space="preserve">: </w:t>
      </w:r>
      <w:proofErr w:type="spellStart"/>
      <w:r>
        <w:t>ramura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pe care s-a </w:t>
      </w:r>
      <w:proofErr w:type="spellStart"/>
      <w:r>
        <w:t>clădit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decenii</w:t>
      </w:r>
      <w:proofErr w:type="spellEnd"/>
      <w:r>
        <w:t xml:space="preserve"> se </w:t>
      </w:r>
      <w:proofErr w:type="spellStart"/>
      <w:r>
        <w:t>restrânge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alternativele</w:t>
      </w:r>
      <w:proofErr w:type="spellEnd"/>
      <w:r>
        <w:t xml:space="preserve"> nu se </w:t>
      </w:r>
      <w:proofErr w:type="spellStart"/>
      <w:r>
        <w:t>nasc</w:t>
      </w:r>
      <w:proofErr w:type="spellEnd"/>
      <w:r>
        <w:t xml:space="preserve"> </w:t>
      </w:r>
      <w:proofErr w:type="spellStart"/>
      <w:r>
        <w:t>destul</w:t>
      </w:r>
      <w:proofErr w:type="spellEnd"/>
      <w:r>
        <w:t xml:space="preserve"> de </w:t>
      </w:r>
      <w:proofErr w:type="spellStart"/>
      <w:r>
        <w:t>repede</w:t>
      </w:r>
      <w:proofErr w:type="spellEnd"/>
      <w:r>
        <w:t xml:space="preserve">. Energia, </w:t>
      </w:r>
      <w:proofErr w:type="spellStart"/>
      <w:r>
        <w:t>agricultura</w:t>
      </w:r>
      <w:proofErr w:type="spellEnd"/>
      <w:r>
        <w:t xml:space="preserve">, </w:t>
      </w:r>
      <w:proofErr w:type="spellStart"/>
      <w:r>
        <w:t>turismul</w:t>
      </w:r>
      <w:proofErr w:type="spellEnd"/>
      <w:r>
        <w:t xml:space="preserve"> </w:t>
      </w:r>
      <w:proofErr w:type="spellStart"/>
      <w:r>
        <w:t>montan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, </w:t>
      </w:r>
      <w:proofErr w:type="spellStart"/>
      <w:r>
        <w:t>teoretic</w:t>
      </w:r>
      <w:proofErr w:type="spellEnd"/>
      <w:r>
        <w:t xml:space="preserve">, </w:t>
      </w:r>
      <w:proofErr w:type="spellStart"/>
      <w:r>
        <w:t>prelua</w:t>
      </w:r>
      <w:proofErr w:type="spellEnd"/>
      <w:r>
        <w:t xml:space="preserve"> o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lentă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ține</w:t>
      </w:r>
      <w:proofErr w:type="spellEnd"/>
      <w:r>
        <w:t xml:space="preserve"> pasul cu </w:t>
      </w:r>
      <w:proofErr w:type="spellStart"/>
      <w:r>
        <w:t>ritmul</w:t>
      </w:r>
      <w:proofErr w:type="spellEnd"/>
      <w:r>
        <w:t xml:space="preserve"> </w:t>
      </w:r>
      <w:proofErr w:type="spellStart"/>
      <w:r>
        <w:t>disponibilizărilor</w:t>
      </w:r>
      <w:proofErr w:type="spellEnd"/>
      <w:r>
        <w:t xml:space="preserve">.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contrast,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menține</w:t>
      </w:r>
      <w:proofErr w:type="spellEnd"/>
      <w:r>
        <w:t xml:space="preserve"> o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scăzută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o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industrială</w:t>
      </w:r>
      <w:proofErr w:type="spellEnd"/>
      <w:r>
        <w:t xml:space="preserve"> </w:t>
      </w:r>
      <w:proofErr w:type="spellStart"/>
      <w:r>
        <w:t>chimică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energetică</w:t>
      </w:r>
      <w:proofErr w:type="spellEnd"/>
      <w:r>
        <w:t xml:space="preserve">, </w:t>
      </w:r>
      <w:proofErr w:type="spellStart"/>
      <w:r>
        <w:t>alături</w:t>
      </w:r>
      <w:proofErr w:type="spellEnd"/>
      <w:r>
        <w:t xml:space="preserve"> de </w:t>
      </w:r>
      <w:proofErr w:type="spellStart"/>
      <w:r>
        <w:t>turismul</w:t>
      </w:r>
      <w:proofErr w:type="spellEnd"/>
      <w:r>
        <w:t xml:space="preserve"> </w:t>
      </w:r>
      <w:proofErr w:type="spellStart"/>
      <w:r>
        <w:t>balnear</w:t>
      </w:r>
      <w:proofErr w:type="spellEnd"/>
      <w:r>
        <w:t xml:space="preserve">, </w:t>
      </w:r>
      <w:proofErr w:type="spellStart"/>
      <w:r>
        <w:t>suficient</w:t>
      </w:r>
      <w:proofErr w:type="spellEnd"/>
      <w:r>
        <w:t xml:space="preserve"> de </w:t>
      </w:r>
      <w:proofErr w:type="spellStart"/>
      <w:r>
        <w:t>diversificată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absoarbă</w:t>
      </w:r>
      <w:proofErr w:type="spellEnd"/>
      <w:r>
        <w:t xml:space="preserve"> </w:t>
      </w:r>
      <w:proofErr w:type="spellStart"/>
      <w:r>
        <w:t>oscilațiile</w:t>
      </w:r>
      <w:proofErr w:type="spellEnd"/>
      <w:r>
        <w:t xml:space="preserve"> locale.</w:t>
      </w:r>
    </w:p>
    <w:p w14:paraId="0A8FFD73" w14:textId="77777777" w:rsidR="00B57A6D" w:rsidRDefault="00000000">
      <w:pPr>
        <w:spacing w:after="160" w:line="360" w:lineRule="auto"/>
        <w:jc w:val="both"/>
      </w:pPr>
      <w:proofErr w:type="spellStart"/>
      <w:r>
        <w:t>Dincolo</w:t>
      </w:r>
      <w:proofErr w:type="spellEnd"/>
      <w:r>
        <w:t xml:space="preserve"> de </w:t>
      </w:r>
      <w:proofErr w:type="spellStart"/>
      <w:r>
        <w:t>marii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, </w:t>
      </w:r>
      <w:proofErr w:type="spellStart"/>
      <w:r>
        <w:t>viitorul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proofErr w:type="spellStart"/>
      <w:r>
        <w:t>întreprinderile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mijlocii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economiei</w:t>
      </w:r>
      <w:proofErr w:type="spellEnd"/>
      <w:r>
        <w:t xml:space="preserve"> locale </w:t>
      </w:r>
      <w:proofErr w:type="gramStart"/>
      <w:r>
        <w:t>de a</w:t>
      </w:r>
      <w:proofErr w:type="gramEnd"/>
      <w:r>
        <w:t xml:space="preserve"> genera </w:t>
      </w:r>
      <w:proofErr w:type="spellStart"/>
      <w:r>
        <w:t>antreprenoriat</w:t>
      </w:r>
      <w:proofErr w:type="spellEnd"/>
      <w:r>
        <w:t xml:space="preserve">. Cele 89 de </w:t>
      </w:r>
      <w:proofErr w:type="spellStart"/>
      <w:r>
        <w:t>firme</w:t>
      </w:r>
      <w:proofErr w:type="spellEnd"/>
      <w:r>
        <w:t xml:space="preserve"> care 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pe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Gorj sunt,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marea</w:t>
      </w:r>
      <w:proofErr w:type="spellEnd"/>
      <w:r>
        <w:t xml:space="preserve"> lor </w:t>
      </w:r>
      <w:proofErr w:type="spellStart"/>
      <w:r>
        <w:t>majoritate</w:t>
      </w:r>
      <w:proofErr w:type="spellEnd"/>
      <w:r>
        <w:t xml:space="preserve">, </w:t>
      </w:r>
      <w:proofErr w:type="spellStart"/>
      <w:r>
        <w:t>întreprinderi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pe care le </w:t>
      </w:r>
      <w:proofErr w:type="spellStart"/>
      <w:r>
        <w:t>promit</w:t>
      </w:r>
      <w:proofErr w:type="spellEnd"/>
      <w:r>
        <w:t xml:space="preserve"> se </w:t>
      </w:r>
      <w:proofErr w:type="spellStart"/>
      <w:r>
        <w:t>nasc</w:t>
      </w:r>
      <w:proofErr w:type="spellEnd"/>
      <w:r>
        <w:t xml:space="preserve"> din </w:t>
      </w:r>
      <w:proofErr w:type="spellStart"/>
      <w:r>
        <w:t>inițiative</w:t>
      </w:r>
      <w:proofErr w:type="spellEnd"/>
      <w:r>
        <w:t xml:space="preserve"> locale, nu din </w:t>
      </w:r>
      <w:proofErr w:type="spellStart"/>
      <w:r>
        <w:t>reactivarea</w:t>
      </w:r>
      <w:proofErr w:type="spellEnd"/>
      <w:r>
        <w:t xml:space="preserve"> </w:t>
      </w:r>
      <w:proofErr w:type="spellStart"/>
      <w:r>
        <w:t>marilor</w:t>
      </w:r>
      <w:proofErr w:type="spellEnd"/>
      <w:r>
        <w:t xml:space="preserve"> combinate.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observație</w:t>
      </w:r>
      <w:proofErr w:type="spellEnd"/>
      <w:r>
        <w:t xml:space="preserve"> are o </w:t>
      </w:r>
      <w:proofErr w:type="spellStart"/>
      <w:r>
        <w:t>consecință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: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marii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industriali</w:t>
      </w:r>
      <w:proofErr w:type="spellEnd"/>
      <w:r>
        <w:t xml:space="preserve"> fie se </w:t>
      </w:r>
      <w:proofErr w:type="spellStart"/>
      <w:r>
        <w:t>restrâng</w:t>
      </w:r>
      <w:proofErr w:type="spellEnd"/>
      <w:r>
        <w:t xml:space="preserve">, ca </w:t>
      </w:r>
      <w:proofErr w:type="spellStart"/>
      <w:r>
        <w:t>în</w:t>
      </w:r>
      <w:proofErr w:type="spellEnd"/>
      <w:r>
        <w:t xml:space="preserve"> Gorj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parțial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Olt, fie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mențin</w:t>
      </w:r>
      <w:proofErr w:type="spellEnd"/>
      <w:r>
        <w:t xml:space="preserve"> cu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,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veni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veni</w:t>
      </w:r>
      <w:proofErr w:type="spellEnd"/>
      <w:r>
        <w:t xml:space="preserve">, din </w:t>
      </w:r>
      <w:proofErr w:type="spellStart"/>
      <w:r>
        <w:t>sute</w:t>
      </w:r>
      <w:proofErr w:type="spellEnd"/>
      <w:r>
        <w:t xml:space="preserve"> de </w:t>
      </w:r>
      <w:proofErr w:type="spellStart"/>
      <w:r>
        <w:t>inițiative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, </w:t>
      </w:r>
      <w:proofErr w:type="spellStart"/>
      <w:r>
        <w:t>răspândite</w:t>
      </w:r>
      <w:proofErr w:type="spellEnd"/>
      <w:r>
        <w:t xml:space="preserve"> </w:t>
      </w:r>
      <w:proofErr w:type="spellStart"/>
      <w:r>
        <w:t>teritorial</w:t>
      </w:r>
      <w:proofErr w:type="spellEnd"/>
      <w:r>
        <w:t xml:space="preserve">.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birocrației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consiliere</w:t>
      </w:r>
      <w:proofErr w:type="spellEnd"/>
      <w:r>
        <w:t xml:space="preserve">, </w:t>
      </w:r>
      <w:proofErr w:type="spellStart"/>
      <w:r>
        <w:t>devine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la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importantă</w:t>
      </w:r>
      <w:proofErr w:type="spellEnd"/>
      <w:r>
        <w:t xml:space="preserve"> ca </w:t>
      </w:r>
      <w:proofErr w:type="spellStart"/>
      <w:r>
        <w:t>atragerea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avantajul</w:t>
      </w:r>
      <w:proofErr w:type="spellEnd"/>
      <w:r>
        <w:t xml:space="preserve"> lor </w:t>
      </w:r>
      <w:proofErr w:type="spellStart"/>
      <w:r>
        <w:t>suplimentar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se pot </w:t>
      </w:r>
      <w:proofErr w:type="spellStart"/>
      <w:r>
        <w:t>dezvolta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orașele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rural,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de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</w:t>
      </w:r>
      <w:proofErr w:type="spellEnd"/>
      <w:r>
        <w:t>.</w:t>
      </w:r>
    </w:p>
    <w:p w14:paraId="50FAE43E" w14:textId="77777777" w:rsidR="00B57A6D" w:rsidRDefault="00000000">
      <w:pPr>
        <w:pStyle w:val="Heading1"/>
        <w:pageBreakBefore/>
      </w:pPr>
      <w:bookmarkStart w:id="21" w:name="_Toc232697856"/>
      <w:r>
        <w:lastRenderedPageBreak/>
        <w:t xml:space="preserve">15.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demografică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migrația</w:t>
      </w:r>
      <w:proofErr w:type="spellEnd"/>
      <w:r>
        <w:t xml:space="preserve"> ca </w:t>
      </w:r>
      <w:proofErr w:type="spellStart"/>
      <w:r>
        <w:t>factori</w:t>
      </w:r>
      <w:proofErr w:type="spellEnd"/>
      <w:r>
        <w:t xml:space="preserve"> ai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bookmarkEnd w:id="21"/>
      <w:proofErr w:type="spellEnd"/>
    </w:p>
    <w:p w14:paraId="4412F298" w14:textId="77777777" w:rsidR="00B57A6D" w:rsidRDefault="00000000">
      <w:pPr>
        <w:spacing w:after="160" w:line="360" w:lineRule="auto"/>
        <w:jc w:val="both"/>
      </w:pPr>
      <w:proofErr w:type="spellStart"/>
      <w:r>
        <w:t>Niciun</w:t>
      </w:r>
      <w:proofErr w:type="spellEnd"/>
      <w:r>
        <w:t xml:space="preserve"> indicator al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citit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contextului</w:t>
      </w:r>
      <w:proofErr w:type="spellEnd"/>
      <w:r>
        <w:t xml:space="preserve"> </w:t>
      </w:r>
      <w:proofErr w:type="spellStart"/>
      <w:r>
        <w:t>demografic</w:t>
      </w:r>
      <w:proofErr w:type="spellEnd"/>
      <w:r>
        <w:t xml:space="preserve"> care </w:t>
      </w:r>
      <w:proofErr w:type="spellStart"/>
      <w:r>
        <w:t>îl</w:t>
      </w:r>
      <w:proofErr w:type="spellEnd"/>
      <w:r>
        <w:t xml:space="preserve"> produce. </w:t>
      </w: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se </w:t>
      </w:r>
      <w:proofErr w:type="spellStart"/>
      <w:r>
        <w:t>confruntă</w:t>
      </w:r>
      <w:proofErr w:type="spellEnd"/>
      <w:r>
        <w:t xml:space="preserve"> de ani </w:t>
      </w:r>
      <w:proofErr w:type="spellStart"/>
      <w:r>
        <w:t>buni</w:t>
      </w:r>
      <w:proofErr w:type="spellEnd"/>
      <w:r>
        <w:t xml:space="preserve"> cu o </w:t>
      </w:r>
      <w:proofErr w:type="spellStart"/>
      <w:r>
        <w:t>triplă</w:t>
      </w:r>
      <w:proofErr w:type="spellEnd"/>
      <w:r>
        <w:t xml:space="preserve">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demografică</w:t>
      </w:r>
      <w:proofErr w:type="spellEnd"/>
      <w:r>
        <w:t xml:space="preserve">: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a </w:t>
      </w:r>
      <w:proofErr w:type="spellStart"/>
      <w:r>
        <w:t>populației</w:t>
      </w:r>
      <w:proofErr w:type="spellEnd"/>
      <w:r>
        <w:t xml:space="preserve">, </w:t>
      </w:r>
      <w:proofErr w:type="spellStart"/>
      <w:r>
        <w:t>îmbătrânirea</w:t>
      </w:r>
      <w:proofErr w:type="spellEnd"/>
      <w:r>
        <w:t xml:space="preserve"> </w:t>
      </w:r>
      <w:proofErr w:type="spellStart"/>
      <w:r>
        <w:t>accentuată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migrația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marile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urbane ale </w:t>
      </w:r>
      <w:proofErr w:type="spellStart"/>
      <w:r>
        <w:t>țării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,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piețele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din </w:t>
      </w:r>
      <w:proofErr w:type="spellStart"/>
      <w:r>
        <w:t>vestul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forțe</w:t>
      </w:r>
      <w:proofErr w:type="spellEnd"/>
      <w:r>
        <w:t xml:space="preserve"> </w:t>
      </w:r>
      <w:proofErr w:type="spellStart"/>
      <w:r>
        <w:t>modelează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profunzime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statisticilor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nu face </w:t>
      </w:r>
      <w:proofErr w:type="spellStart"/>
      <w:r>
        <w:t>excepție</w:t>
      </w:r>
      <w:proofErr w:type="spellEnd"/>
      <w:r>
        <w:t>.</w:t>
      </w:r>
    </w:p>
    <w:p w14:paraId="25F1836B" w14:textId="77777777" w:rsidR="00B57A6D" w:rsidRDefault="00000000">
      <w:pPr>
        <w:spacing w:after="160" w:line="360" w:lineRule="auto"/>
        <w:jc w:val="both"/>
      </w:pPr>
      <w:proofErr w:type="spellStart"/>
      <w:r>
        <w:t>Structura</w:t>
      </w:r>
      <w:proofErr w:type="spellEnd"/>
      <w:r>
        <w:t xml:space="preserve"> pe </w:t>
      </w:r>
      <w:proofErr w:type="spellStart"/>
      <w:r>
        <w:t>vârste</w:t>
      </w:r>
      <w:proofErr w:type="spellEnd"/>
      <w:r>
        <w:t xml:space="preserve"> a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valabilă</w:t>
      </w:r>
      <w:proofErr w:type="spellEnd"/>
      <w:r>
        <w:t xml:space="preserve"> ca </w:t>
      </w:r>
      <w:proofErr w:type="spellStart"/>
      <w:r>
        <w:t>tipar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arată</w:t>
      </w:r>
      <w:proofErr w:type="spellEnd"/>
      <w:r>
        <w:t xml:space="preserve"> o </w:t>
      </w:r>
      <w:proofErr w:type="spellStart"/>
      <w:r>
        <w:t>concentrare</w:t>
      </w:r>
      <w:proofErr w:type="spellEnd"/>
      <w:r>
        <w:t xml:space="preserve"> a </w:t>
      </w:r>
      <w:proofErr w:type="spellStart"/>
      <w:r>
        <w:t>problemelor</w:t>
      </w:r>
      <w:proofErr w:type="spellEnd"/>
      <w:r>
        <w:t xml:space="preserve"> la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capete</w:t>
      </w:r>
      <w:proofErr w:type="spellEnd"/>
      <w:r>
        <w:t xml:space="preserve"> ale </w:t>
      </w:r>
      <w:proofErr w:type="spellStart"/>
      <w:r>
        <w:t>vieții</w:t>
      </w:r>
      <w:proofErr w:type="spellEnd"/>
      <w:r>
        <w:t xml:space="preserve"> active. Grupa de </w:t>
      </w:r>
      <w:proofErr w:type="spellStart"/>
      <w:r>
        <w:t>peste</w:t>
      </w:r>
      <w:proofErr w:type="spellEnd"/>
      <w:r>
        <w:t xml:space="preserve"> 55 de ani </w:t>
      </w:r>
      <w:proofErr w:type="spellStart"/>
      <w:r>
        <w:t>aduna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număr</w:t>
      </w:r>
      <w:proofErr w:type="spellEnd"/>
      <w:r>
        <w:t xml:space="preserve">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urmată</w:t>
      </w:r>
      <w:proofErr w:type="spellEnd"/>
      <w:r>
        <w:t xml:space="preserve"> </w:t>
      </w:r>
      <w:proofErr w:type="spellStart"/>
      <w:r>
        <w:t>îndeaproape</w:t>
      </w:r>
      <w:proofErr w:type="spellEnd"/>
      <w:r>
        <w:t xml:space="preserve"> de </w:t>
      </w:r>
      <w:proofErr w:type="spellStart"/>
      <w:r>
        <w:t>grupa</w:t>
      </w:r>
      <w:proofErr w:type="spellEnd"/>
      <w:r>
        <w:t xml:space="preserve"> 40–49 de ani,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tinerii</w:t>
      </w:r>
      <w:proofErr w:type="spellEnd"/>
      <w:r>
        <w:t xml:space="preserve"> sub 25 de ani </w:t>
      </w:r>
      <w:proofErr w:type="spellStart"/>
      <w:r>
        <w:t>formau</w:t>
      </w:r>
      <w:proofErr w:type="spellEnd"/>
      <w:r>
        <w:t xml:space="preserve"> o </w:t>
      </w:r>
      <w:proofErr w:type="spellStart"/>
      <w:r>
        <w:t>categorie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restrânsă</w:t>
      </w:r>
      <w:proofErr w:type="spellEnd"/>
      <w:r>
        <w:t xml:space="preserve"> numeric,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vulnerabilă</w:t>
      </w:r>
      <w:proofErr w:type="spellEnd"/>
      <w:r>
        <w:t xml:space="preserve"> </w:t>
      </w:r>
      <w:proofErr w:type="spellStart"/>
      <w:r>
        <w:t>proporțional</w:t>
      </w:r>
      <w:proofErr w:type="spellEnd"/>
      <w:r>
        <w:t xml:space="preserve">. (ANOFM, </w:t>
      </w:r>
      <w:proofErr w:type="spellStart"/>
      <w:r>
        <w:t>comunicat</w:t>
      </w:r>
      <w:proofErr w:type="spellEnd"/>
      <w:r>
        <w:t xml:space="preserve"> din 28 </w:t>
      </w:r>
      <w:proofErr w:type="spellStart"/>
      <w:r>
        <w:t>mai</w:t>
      </w:r>
      <w:proofErr w:type="spellEnd"/>
      <w:r>
        <w:t xml:space="preserve"> 2026)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55 de ani </w:t>
      </w:r>
      <w:proofErr w:type="spellStart"/>
      <w:r>
        <w:t>reprezentau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numeros</w:t>
      </w:r>
      <w:proofErr w:type="spellEnd"/>
      <w:r>
        <w:t xml:space="preserve"> segment al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grupele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50 de ani </w:t>
      </w:r>
      <w:proofErr w:type="spellStart"/>
      <w:r>
        <w:t>depășeau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categorie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. (AJOFM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îmbătrânire</w:t>
      </w:r>
      <w:proofErr w:type="spellEnd"/>
      <w:r>
        <w:t xml:space="preserve"> a </w:t>
      </w:r>
      <w:proofErr w:type="spellStart"/>
      <w:r>
        <w:t>populației</w:t>
      </w:r>
      <w:proofErr w:type="spellEnd"/>
      <w:r>
        <w:t xml:space="preserve">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ridică</w:t>
      </w:r>
      <w:proofErr w:type="spellEnd"/>
      <w:r>
        <w:t xml:space="preserve"> o </w:t>
      </w:r>
      <w:proofErr w:type="spellStart"/>
      <w:r>
        <w:t>problemă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: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trecută</w:t>
      </w:r>
      <w:proofErr w:type="spellEnd"/>
      <w:r>
        <w:t xml:space="preserve"> de </w:t>
      </w:r>
      <w:proofErr w:type="spellStart"/>
      <w:r>
        <w:t>cincizeci</w:t>
      </w:r>
      <w:proofErr w:type="spellEnd"/>
      <w:r>
        <w:t xml:space="preserve"> de ani, </w:t>
      </w:r>
      <w:proofErr w:type="spellStart"/>
      <w:r>
        <w:t>recalificarea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reinserția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sunt </w:t>
      </w:r>
      <w:proofErr w:type="spellStart"/>
      <w:r>
        <w:t>obiectiv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dificile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pensionării</w:t>
      </w:r>
      <w:proofErr w:type="spellEnd"/>
      <w:r>
        <w:t xml:space="preserve"> </w:t>
      </w:r>
      <w:proofErr w:type="spellStart"/>
      <w:r>
        <w:t>apropiate</w:t>
      </w:r>
      <w:proofErr w:type="spellEnd"/>
      <w:r>
        <w:t xml:space="preserve"> </w:t>
      </w:r>
      <w:proofErr w:type="spellStart"/>
      <w:r>
        <w:t>descurajează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angajatorii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</w:t>
      </w:r>
      <w:proofErr w:type="spellStart"/>
      <w:r>
        <w:t>cei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>.</w:t>
      </w:r>
    </w:p>
    <w:p w14:paraId="3D4B5D50" w14:textId="77777777" w:rsidR="00B57A6D" w:rsidRDefault="00000000">
      <w:pPr>
        <w:spacing w:after="160" w:line="360" w:lineRule="auto"/>
        <w:jc w:val="both"/>
      </w:pPr>
      <w:proofErr w:type="spellStart"/>
      <w:r>
        <w:t>Migrația</w:t>
      </w:r>
      <w:proofErr w:type="spellEnd"/>
      <w:r>
        <w:t xml:space="preserve"> </w:t>
      </w:r>
      <w:proofErr w:type="spellStart"/>
      <w:r>
        <w:t>acționează</w:t>
      </w:r>
      <w:proofErr w:type="spellEnd"/>
      <w:r>
        <w:t xml:space="preserve"> ca o </w:t>
      </w:r>
      <w:proofErr w:type="spellStart"/>
      <w:r>
        <w:t>supapă</w:t>
      </w:r>
      <w:proofErr w:type="spellEnd"/>
      <w:r>
        <w:t xml:space="preserve"> care, </w:t>
      </w:r>
      <w:proofErr w:type="spellStart"/>
      <w:r>
        <w:t>paradoxal</w:t>
      </w:r>
      <w:proofErr w:type="spellEnd"/>
      <w:r>
        <w:t xml:space="preserve">, </w:t>
      </w:r>
      <w:proofErr w:type="spellStart"/>
      <w:r>
        <w:t>atenuează</w:t>
      </w:r>
      <w:proofErr w:type="spellEnd"/>
      <w:r>
        <w:t xml:space="preserve"> </w:t>
      </w:r>
      <w:proofErr w:type="spellStart"/>
      <w:r>
        <w:t>cifrele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rezolve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de fond.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importantă</w:t>
      </w:r>
      <w:proofErr w:type="spellEnd"/>
      <w:r>
        <w:t xml:space="preserve"> a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tinere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calificate</w:t>
      </w:r>
      <w:proofErr w:type="spellEnd"/>
      <w:r>
        <w:t xml:space="preserve"> </w:t>
      </w:r>
      <w:proofErr w:type="spellStart"/>
      <w:r>
        <w:t>părăsește</w:t>
      </w:r>
      <w:proofErr w:type="spellEnd"/>
      <w:r>
        <w:t xml:space="preserve"> </w:t>
      </w:r>
      <w:proofErr w:type="spellStart"/>
      <w:r>
        <w:t>regiunea</w:t>
      </w:r>
      <w:proofErr w:type="spellEnd"/>
      <w:r>
        <w:t xml:space="preserve">, fie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Cluj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Timișoara</w:t>
      </w:r>
      <w:proofErr w:type="spellEnd"/>
      <w:r>
        <w:t xml:space="preserve">, fie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străinătate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reduce </w:t>
      </w:r>
      <w:proofErr w:type="spellStart"/>
      <w:r>
        <w:t>mecanic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ca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locale. Rata </w:t>
      </w:r>
      <w:proofErr w:type="spellStart"/>
      <w:r>
        <w:t>șomajului</w:t>
      </w:r>
      <w:proofErr w:type="spellEnd"/>
      <w:r>
        <w:t xml:space="preserve"> din </w:t>
      </w:r>
      <w:proofErr w:type="spellStart"/>
      <w:r>
        <w:t>Vâlcea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scăderile</w:t>
      </w:r>
      <w:proofErr w:type="spellEnd"/>
      <w:r>
        <w:t xml:space="preserve"> </w:t>
      </w:r>
      <w:proofErr w:type="spellStart"/>
      <w:r>
        <w:t>lunare</w:t>
      </w:r>
      <w:proofErr w:type="spellEnd"/>
      <w:r>
        <w:t xml:space="preserve"> </w:t>
      </w:r>
      <w:proofErr w:type="spellStart"/>
      <w:r>
        <w:t>consemnate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privite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lentilă</w:t>
      </w:r>
      <w:proofErr w:type="spellEnd"/>
      <w:r>
        <w:t xml:space="preserve">: o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scădere</w:t>
      </w:r>
      <w:proofErr w:type="spellEnd"/>
      <w:r>
        <w:t xml:space="preserve"> nu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neapărat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r>
        <w:t>creat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ci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reflecta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apte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au </w:t>
      </w:r>
      <w:proofErr w:type="spellStart"/>
      <w:r>
        <w:t>plecat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. </w:t>
      </w:r>
      <w:proofErr w:type="spellStart"/>
      <w:r>
        <w:t>Plecarea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activi</w:t>
      </w:r>
      <w:proofErr w:type="spellEnd"/>
      <w:r>
        <w:t xml:space="preserve"> </w:t>
      </w:r>
      <w:proofErr w:type="spellStart"/>
      <w:r>
        <w:t>lasă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</w:t>
      </w:r>
      <w:proofErr w:type="spellEnd"/>
      <w:r>
        <w:t xml:space="preserve"> o </w:t>
      </w:r>
      <w:proofErr w:type="spellStart"/>
      <w:r>
        <w:t>populație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Dolj, </w:t>
      </w:r>
      <w:proofErr w:type="spellStart"/>
      <w:r>
        <w:t>plățile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care </w:t>
      </w:r>
      <w:proofErr w:type="spellStart"/>
      <w:r>
        <w:t>depășeau</w:t>
      </w:r>
      <w:proofErr w:type="spellEnd"/>
      <w:r>
        <w:t xml:space="preserve"> </w:t>
      </w:r>
      <w:proofErr w:type="spellStart"/>
      <w:r>
        <w:t>șaptezeci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de </w:t>
      </w:r>
      <w:proofErr w:type="spellStart"/>
      <w:r>
        <w:t>milioane</w:t>
      </w:r>
      <w:proofErr w:type="spellEnd"/>
      <w:r>
        <w:t xml:space="preserve"> de lei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lună</w:t>
      </w:r>
      <w:proofErr w:type="spellEnd"/>
      <w:r>
        <w:t xml:space="preserve">. (AJOFM Dolj, </w:t>
      </w:r>
      <w:proofErr w:type="spellStart"/>
      <w:r>
        <w:t>prin</w:t>
      </w:r>
      <w:proofErr w:type="spellEnd"/>
      <w:r>
        <w:t xml:space="preserve"> Jurnalul </w:t>
      </w:r>
      <w:proofErr w:type="spellStart"/>
      <w:r>
        <w:t>Olteniei</w:t>
      </w:r>
      <w:proofErr w:type="spellEnd"/>
      <w:r>
        <w:t xml:space="preserve">, 15 </w:t>
      </w:r>
      <w:proofErr w:type="spellStart"/>
      <w:r>
        <w:t>iunie</w:t>
      </w:r>
      <w:proofErr w:type="spellEnd"/>
      <w:r>
        <w:t xml:space="preserve"> 2026)</w:t>
      </w:r>
    </w:p>
    <w:p w14:paraId="0F479DCF" w14:textId="77777777" w:rsidR="00B57A6D" w:rsidRDefault="00000000">
      <w:pPr>
        <w:spacing w:after="160" w:line="360" w:lineRule="auto"/>
        <w:jc w:val="both"/>
      </w:pPr>
      <w:proofErr w:type="spellStart"/>
      <w:r>
        <w:t>Consecința</w:t>
      </w:r>
      <w:proofErr w:type="spellEnd"/>
      <w:r>
        <w:t xml:space="preserve"> pe termen lung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presiuni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restrângere</w:t>
      </w:r>
      <w:proofErr w:type="spellEnd"/>
      <w:r>
        <w:t xml:space="preserve"> a </w:t>
      </w:r>
      <w:proofErr w:type="spellStart"/>
      <w:r>
        <w:t>bazei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,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resimțită</w:t>
      </w:r>
      <w:proofErr w:type="spellEnd"/>
      <w:r>
        <w:t xml:space="preserve"> pe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generațiile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ies</w:t>
      </w:r>
      <w:proofErr w:type="spellEnd"/>
      <w:r>
        <w:t xml:space="preserve"> la </w:t>
      </w:r>
      <w:proofErr w:type="spellStart"/>
      <w:r>
        <w:t>pensie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lastRenderedPageBreak/>
        <w:t>cele</w:t>
      </w:r>
      <w:proofErr w:type="spellEnd"/>
      <w:r>
        <w:t xml:space="preserve"> care le </w:t>
      </w:r>
      <w:proofErr w:type="spellStart"/>
      <w:r>
        <w:t>urmează</w:t>
      </w:r>
      <w:proofErr w:type="spellEnd"/>
      <w:r>
        <w:t xml:space="preserve"> sunt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parțial</w:t>
      </w:r>
      <w:proofErr w:type="spellEnd"/>
      <w:r>
        <w:t xml:space="preserve"> </w:t>
      </w:r>
      <w:proofErr w:type="spellStart"/>
      <w:r>
        <w:t>plecate</w:t>
      </w:r>
      <w:proofErr w:type="spellEnd"/>
      <w:r>
        <w:t xml:space="preserve">. </w:t>
      </w:r>
      <w:proofErr w:type="spellStart"/>
      <w:r>
        <w:t>Angajatorii</w:t>
      </w:r>
      <w:proofErr w:type="spellEnd"/>
      <w:r>
        <w:t xml:space="preserve"> din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deja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sectoare</w:t>
      </w:r>
      <w:proofErr w:type="spellEnd"/>
      <w:r>
        <w:t xml:space="preserve">, </w:t>
      </w:r>
      <w:proofErr w:type="spellStart"/>
      <w:r>
        <w:t>dificultăți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 </w:t>
      </w:r>
      <w:proofErr w:type="spellStart"/>
      <w:r>
        <w:t>găsi</w:t>
      </w:r>
      <w:proofErr w:type="spellEnd"/>
      <w:r>
        <w:t xml:space="preserve"> personal </w:t>
      </w:r>
      <w:proofErr w:type="spellStart"/>
      <w:r>
        <w:t>calificat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pare </w:t>
      </w:r>
      <w:proofErr w:type="spellStart"/>
      <w:r>
        <w:t>contradictoriu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regiune</w:t>
      </w:r>
      <w:proofErr w:type="spellEnd"/>
      <w:r>
        <w:t xml:space="preserve"> cu </w:t>
      </w:r>
      <w:proofErr w:type="spellStart"/>
      <w:r>
        <w:t>șomaj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se </w:t>
      </w:r>
      <w:proofErr w:type="spellStart"/>
      <w:r>
        <w:t>explică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decalaj</w:t>
      </w:r>
      <w:proofErr w:type="spellEnd"/>
      <w:r>
        <w:t xml:space="preserve"> </w:t>
      </w:r>
      <w:proofErr w:type="spellStart"/>
      <w:r>
        <w:t>demografic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migrația</w:t>
      </w:r>
      <w:proofErr w:type="spellEnd"/>
      <w:r>
        <w:t xml:space="preserve"> </w:t>
      </w:r>
      <w:proofErr w:type="spellStart"/>
      <w:r>
        <w:t>selectivă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pregătiți</w:t>
      </w:r>
      <w:proofErr w:type="spellEnd"/>
      <w:r>
        <w:t xml:space="preserve">. </w:t>
      </w:r>
      <w:proofErr w:type="spellStart"/>
      <w:r>
        <w:t>Politicile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care </w:t>
      </w:r>
      <w:proofErr w:type="spellStart"/>
      <w:r>
        <w:t>ignoră</w:t>
      </w:r>
      <w:proofErr w:type="spellEnd"/>
      <w:r>
        <w:t xml:space="preserve"> </w:t>
      </w:r>
      <w:proofErr w:type="spellStart"/>
      <w:r>
        <w:t>dimensiunea</w:t>
      </w:r>
      <w:proofErr w:type="spellEnd"/>
      <w:r>
        <w:t xml:space="preserve"> </w:t>
      </w:r>
      <w:proofErr w:type="spellStart"/>
      <w:r>
        <w:t>demografică</w:t>
      </w:r>
      <w:proofErr w:type="spellEnd"/>
      <w:r>
        <w:t xml:space="preserve"> </w:t>
      </w:r>
      <w:proofErr w:type="spellStart"/>
      <w:r>
        <w:t>riscă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>
        <w:t xml:space="preserve"> </w:t>
      </w:r>
      <w:proofErr w:type="spellStart"/>
      <w:r>
        <w:t>simptomul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cauzei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medieze</w:t>
      </w:r>
      <w:proofErr w:type="spellEnd"/>
      <w:r>
        <w:t xml:space="preserve"> </w:t>
      </w:r>
      <w:proofErr w:type="spellStart"/>
      <w:r>
        <w:t>întâlnirea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ci </w:t>
      </w:r>
      <w:proofErr w:type="spellStart"/>
      <w:r>
        <w:t>ar</w:t>
      </w:r>
      <w:proofErr w:type="spellEnd"/>
      <w:r>
        <w:t xml:space="preserve"> </w:t>
      </w:r>
      <w:proofErr w:type="spellStart"/>
      <w:r>
        <w:t>trebui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acționeze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care fac ca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piardă</w:t>
      </w:r>
      <w:proofErr w:type="spellEnd"/>
      <w:r>
        <w:t xml:space="preserve"> constant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oamenii</w:t>
      </w:r>
      <w:proofErr w:type="spellEnd"/>
      <w:r>
        <w:t xml:space="preserve"> de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nevoie</w:t>
      </w:r>
      <w:proofErr w:type="spellEnd"/>
      <w:r>
        <w:t>.</w:t>
      </w:r>
    </w:p>
    <w:p w14:paraId="497DB636" w14:textId="5A3992B3" w:rsidR="00B57A6D" w:rsidRDefault="00B57A6D">
      <w:pPr>
        <w:pageBreakBefore/>
        <w:spacing w:after="220"/>
      </w:pPr>
    </w:p>
    <w:p w14:paraId="76C40F4E" w14:textId="77777777" w:rsidR="00B57A6D" w:rsidRDefault="00000000">
      <w:pPr>
        <w:pStyle w:val="Heading1"/>
      </w:pPr>
      <w:bookmarkStart w:id="22" w:name="_Toc232697857"/>
      <w:r>
        <w:t xml:space="preserve">16. </w:t>
      </w:r>
      <w:proofErr w:type="spellStart"/>
      <w:r>
        <w:t>Disparitatea</w:t>
      </w:r>
      <w:proofErr w:type="spellEnd"/>
      <w:r>
        <w:t xml:space="preserve"> urban-rural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mobilitatea</w:t>
      </w:r>
      <w:proofErr w:type="spellEnd"/>
      <w:r>
        <w:t xml:space="preserve"> </w:t>
      </w:r>
      <w:proofErr w:type="spellStart"/>
      <w:r>
        <w:t>forței</w:t>
      </w:r>
      <w:proofErr w:type="spellEnd"/>
      <w:r>
        <w:t xml:space="preserve"> de </w:t>
      </w:r>
      <w:proofErr w:type="spellStart"/>
      <w:r>
        <w:t>muncă</w:t>
      </w:r>
      <w:bookmarkEnd w:id="22"/>
      <w:proofErr w:type="spellEnd"/>
    </w:p>
    <w:p w14:paraId="5A8C0D6F" w14:textId="77777777" w:rsidR="00B57A6D" w:rsidRDefault="00000000">
      <w:pPr>
        <w:spacing w:after="160" w:line="360" w:lineRule="auto"/>
        <w:jc w:val="both"/>
      </w:pPr>
      <w:proofErr w:type="spellStart"/>
      <w:r>
        <w:t>Dintre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liniile</w:t>
      </w:r>
      <w:proofErr w:type="spellEnd"/>
      <w:r>
        <w:t xml:space="preserve"> de </w:t>
      </w:r>
      <w:proofErr w:type="spellStart"/>
      <w:r>
        <w:t>fractură</w:t>
      </w:r>
      <w:proofErr w:type="spellEnd"/>
      <w:r>
        <w:t xml:space="preserve"> care </w:t>
      </w:r>
      <w:proofErr w:type="spellStart"/>
      <w:r>
        <w:t>traversează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oltenească</w:t>
      </w:r>
      <w:proofErr w:type="spellEnd"/>
      <w:r>
        <w:t xml:space="preserve">,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adâncă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sat.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o </w:t>
      </w:r>
      <w:proofErr w:type="spellStart"/>
      <w:r>
        <w:t>confirmă</w:t>
      </w:r>
      <w:proofErr w:type="spellEnd"/>
      <w:r>
        <w:t xml:space="preserve"> cu o </w:t>
      </w:r>
      <w:proofErr w:type="spellStart"/>
      <w:r>
        <w:t>claritate</w:t>
      </w:r>
      <w:proofErr w:type="spellEnd"/>
      <w:r>
        <w:t xml:space="preserve"> care </w:t>
      </w:r>
      <w:proofErr w:type="spellStart"/>
      <w:r>
        <w:t>merită</w:t>
      </w:r>
      <w:proofErr w:type="spellEnd"/>
      <w:r>
        <w:t xml:space="preserve"> </w:t>
      </w:r>
      <w:proofErr w:type="spellStart"/>
      <w:r>
        <w:t>analizată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sferturi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proveneau</w:t>
      </w:r>
      <w:proofErr w:type="spellEnd"/>
      <w:r>
        <w:t xml:space="preserve"> din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</w:t>
      </w:r>
      <w:proofErr w:type="spellStart"/>
      <w:r>
        <w:t>atingea</w:t>
      </w:r>
      <w:proofErr w:type="spellEnd"/>
      <w:r>
        <w:t xml:space="preserve"> 84,31%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echilibrat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tot </w:t>
      </w:r>
      <w:proofErr w:type="spellStart"/>
      <w:r>
        <w:t>majoritar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era de </w:t>
      </w:r>
      <w:proofErr w:type="spellStart"/>
      <w:r>
        <w:t>aproximativ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treimi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tipar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întâmplare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, ci </w:t>
      </w:r>
      <w:proofErr w:type="spellStart"/>
      <w:r>
        <w:t>reflectarea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a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distribuită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>.</w:t>
      </w:r>
    </w:p>
    <w:p w14:paraId="49EC3CF5" w14:textId="77777777" w:rsidR="00B57A6D" w:rsidRDefault="00000000">
      <w:pPr>
        <w:spacing w:after="160" w:line="360" w:lineRule="auto"/>
        <w:jc w:val="both"/>
      </w:pP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formale</w:t>
      </w:r>
      <w:proofErr w:type="spellEnd"/>
      <w:r>
        <w:t xml:space="preserve"> se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orașe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reședințele</w:t>
      </w:r>
      <w:proofErr w:type="spellEnd"/>
      <w:r>
        <w:t xml:space="preserve"> de </w:t>
      </w:r>
      <w:proofErr w:type="spellStart"/>
      <w:r>
        <w:t>județ</w:t>
      </w:r>
      <w:proofErr w:type="spellEnd"/>
      <w:r>
        <w:t xml:space="preserve">. Cele 190 de </w:t>
      </w:r>
      <w:proofErr w:type="spellStart"/>
      <w:r>
        <w:t>posturi</w:t>
      </w:r>
      <w:proofErr w:type="spellEnd"/>
      <w:r>
        <w:t xml:space="preserve"> din Dolj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168 din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comunicate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,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covârșitoare</w:t>
      </w:r>
      <w:proofErr w:type="spellEnd"/>
      <w:r>
        <w:t xml:space="preserve"> </w:t>
      </w:r>
      <w:proofErr w:type="spellStart"/>
      <w:r>
        <w:t>măsură</w:t>
      </w:r>
      <w:proofErr w:type="spellEnd"/>
      <w:r>
        <w:t xml:space="preserve"> </w:t>
      </w:r>
      <w:proofErr w:type="spellStart"/>
      <w:r>
        <w:t>posturi</w:t>
      </w:r>
      <w:proofErr w:type="spellEnd"/>
      <w:r>
        <w:t xml:space="preserve"> urbane, legate de </w:t>
      </w:r>
      <w:proofErr w:type="spellStart"/>
      <w:r>
        <w:t>industria</w:t>
      </w:r>
      <w:proofErr w:type="spellEnd"/>
      <w:r>
        <w:t xml:space="preserve">, </w:t>
      </w:r>
      <w:proofErr w:type="spellStart"/>
      <w:r>
        <w:t>comerțul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din Craiova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Drobeta-Turnu</w:t>
      </w:r>
      <w:proofErr w:type="spellEnd"/>
      <w:r>
        <w:t xml:space="preserve"> Severin. </w:t>
      </w:r>
      <w:proofErr w:type="spellStart"/>
      <w:r>
        <w:t>Șomerii</w:t>
      </w:r>
      <w:proofErr w:type="spellEnd"/>
      <w:r>
        <w:t xml:space="preserve">, </w:t>
      </w:r>
      <w:proofErr w:type="spellStart"/>
      <w:r>
        <w:t>dimpotrivă</w:t>
      </w:r>
      <w:proofErr w:type="spellEnd"/>
      <w:r>
        <w:t xml:space="preserve">, se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sate,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locuitori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agricultura</w:t>
      </w:r>
      <w:proofErr w:type="spellEnd"/>
      <w:r>
        <w:t xml:space="preserve"> de </w:t>
      </w:r>
      <w:proofErr w:type="spellStart"/>
      <w:r>
        <w:t>subzistență</w:t>
      </w:r>
      <w:proofErr w:type="spellEnd"/>
      <w:r>
        <w:t xml:space="preserve">, o </w:t>
      </w:r>
      <w:proofErr w:type="spellStart"/>
      <w:r>
        <w:t>activitate</w:t>
      </w:r>
      <w:proofErr w:type="spellEnd"/>
      <w:r>
        <w:t xml:space="preserve"> care nu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salariale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calculul</w:t>
      </w:r>
      <w:proofErr w:type="spellEnd"/>
      <w:r>
        <w:t xml:space="preserve"> </w:t>
      </w:r>
      <w:proofErr w:type="spellStart"/>
      <w:r>
        <w:t>populației</w:t>
      </w:r>
      <w:proofErr w:type="spellEnd"/>
      <w:r>
        <w:t xml:space="preserve"> </w:t>
      </w:r>
      <w:proofErr w:type="spellStart"/>
      <w:r>
        <w:t>ocupate</w:t>
      </w:r>
      <w:proofErr w:type="spellEnd"/>
      <w:r>
        <w:t xml:space="preserve"> civile.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lumi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geografică</w:t>
      </w:r>
      <w:proofErr w:type="spellEnd"/>
      <w:r>
        <w:t xml:space="preserve">, ci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>.</w:t>
      </w:r>
    </w:p>
    <w:p w14:paraId="06EB507C" w14:textId="77777777" w:rsidR="00B57A6D" w:rsidRDefault="00000000">
      <w:pPr>
        <w:spacing w:after="160" w:line="360" w:lineRule="auto"/>
        <w:jc w:val="both"/>
      </w:pPr>
      <w:proofErr w:type="spellStart"/>
      <w:r>
        <w:t>Bariera</w:t>
      </w:r>
      <w:proofErr w:type="spellEnd"/>
      <w:r>
        <w:t xml:space="preserve">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amplifică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dezechilibru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sat </w:t>
      </w:r>
      <w:proofErr w:type="spellStart"/>
      <w:r>
        <w:t>aflat</w:t>
      </w:r>
      <w:proofErr w:type="spellEnd"/>
      <w:r>
        <w:t xml:space="preserve"> la </w:t>
      </w:r>
      <w:proofErr w:type="spellStart"/>
      <w:r>
        <w:t>zeci</w:t>
      </w:r>
      <w:proofErr w:type="spellEnd"/>
      <w:r>
        <w:t xml:space="preserve"> de </w:t>
      </w:r>
      <w:proofErr w:type="spellStart"/>
      <w:r>
        <w:t>kilometri</w:t>
      </w:r>
      <w:proofErr w:type="spellEnd"/>
      <w:r>
        <w:t xml:space="preserve"> de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apropiat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,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post urban </w:t>
      </w:r>
      <w:proofErr w:type="spellStart"/>
      <w:r>
        <w:t>presupune</w:t>
      </w:r>
      <w:proofErr w:type="spellEnd"/>
      <w:r>
        <w:t xml:space="preserve"> fie o </w:t>
      </w:r>
      <w:proofErr w:type="spellStart"/>
      <w:r>
        <w:t>navetă</w:t>
      </w:r>
      <w:proofErr w:type="spellEnd"/>
      <w:r>
        <w:t xml:space="preserve"> </w:t>
      </w:r>
      <w:proofErr w:type="spellStart"/>
      <w:r>
        <w:t>zilnică</w:t>
      </w:r>
      <w:proofErr w:type="spellEnd"/>
      <w:r>
        <w:t xml:space="preserve"> </w:t>
      </w:r>
      <w:proofErr w:type="spellStart"/>
      <w:r>
        <w:t>costisitoare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consumatoare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fie </w:t>
      </w:r>
      <w:proofErr w:type="spellStart"/>
      <w:r>
        <w:t>mutarea</w:t>
      </w:r>
      <w:proofErr w:type="spellEnd"/>
      <w:r>
        <w:t xml:space="preserve">,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dificile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reduse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familii</w:t>
      </w:r>
      <w:proofErr w:type="spellEnd"/>
      <w:r>
        <w:t xml:space="preserve">. </w:t>
      </w:r>
      <w:proofErr w:type="spellStart"/>
      <w:r>
        <w:t>Infrastructura</w:t>
      </w:r>
      <w:proofErr w:type="spellEnd"/>
      <w:r>
        <w:t xml:space="preserve"> de transport public din </w:t>
      </w:r>
      <w:proofErr w:type="spellStart"/>
      <w:r>
        <w:t>mediul</w:t>
      </w:r>
      <w:proofErr w:type="spellEnd"/>
      <w:r>
        <w:t xml:space="preserve"> rural </w:t>
      </w:r>
      <w:proofErr w:type="spellStart"/>
      <w:r>
        <w:t>oltean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deficitară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costul</w:t>
      </w:r>
      <w:proofErr w:type="spellEnd"/>
      <w:r>
        <w:t xml:space="preserve"> </w:t>
      </w:r>
      <w:proofErr w:type="spellStart"/>
      <w:r>
        <w:t>transportului</w:t>
      </w:r>
      <w:proofErr w:type="spellEnd"/>
      <w:r>
        <w:t xml:space="preserve"> individual </w:t>
      </w:r>
      <w:proofErr w:type="spellStart"/>
      <w:r>
        <w:t>erodează</w:t>
      </w:r>
      <w:proofErr w:type="spellEnd"/>
      <w:r>
        <w:t xml:space="preserve"> rapid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salariu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minim.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oferă</w:t>
      </w:r>
      <w:proofErr w:type="spellEnd"/>
      <w:r>
        <w:t xml:space="preserve"> prime de </w:t>
      </w:r>
      <w:proofErr w:type="spellStart"/>
      <w:r>
        <w:t>mobilitate</w:t>
      </w:r>
      <w:proofErr w:type="spellEnd"/>
      <w:r>
        <w:t xml:space="preserve">, de </w:t>
      </w:r>
      <w:proofErr w:type="spellStart"/>
      <w:r>
        <w:t>instalare</w:t>
      </w:r>
      <w:proofErr w:type="spellEnd"/>
      <w:r>
        <w:t xml:space="preserve">,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relocare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stimula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locurile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un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limitat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lovesc</w:t>
      </w:r>
      <w:proofErr w:type="spellEnd"/>
      <w:r>
        <w:t xml:space="preserve"> de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culturi</w:t>
      </w:r>
      <w:proofErr w:type="spellEnd"/>
      <w:r>
        <w:t xml:space="preserve"> a </w:t>
      </w:r>
      <w:proofErr w:type="spellStart"/>
      <w:r>
        <w:t>mobilității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atașamentul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gospodăria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,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sursă</w:t>
      </w:r>
      <w:proofErr w:type="spellEnd"/>
      <w:r>
        <w:t xml:space="preserve"> de </w:t>
      </w:r>
      <w:proofErr w:type="spellStart"/>
      <w:r>
        <w:t>hrană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familii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>.</w:t>
      </w:r>
    </w:p>
    <w:p w14:paraId="0C7B517C" w14:textId="77777777" w:rsidR="00B57A6D" w:rsidRDefault="00000000">
      <w:pPr>
        <w:spacing w:after="160" w:line="360" w:lineRule="auto"/>
        <w:jc w:val="both"/>
      </w:pPr>
      <w:proofErr w:type="spellStart"/>
      <w:r>
        <w:t>Consecința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separată</w:t>
      </w:r>
      <w:proofErr w:type="spellEnd"/>
      <w:r>
        <w:t xml:space="preserve"> de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teritorială</w:t>
      </w:r>
      <w:proofErr w:type="spellEnd"/>
      <w:r>
        <w:t xml:space="preserve">.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reședințele</w:t>
      </w:r>
      <w:proofErr w:type="spellEnd"/>
      <w:r>
        <w:t xml:space="preserve"> de </w:t>
      </w:r>
      <w:proofErr w:type="spellStart"/>
      <w:r>
        <w:t>județ</w:t>
      </w:r>
      <w:proofErr w:type="spellEnd"/>
      <w:r>
        <w:t xml:space="preserve"> nu </w:t>
      </w:r>
      <w:proofErr w:type="spellStart"/>
      <w:r>
        <w:t>rezolvă</w:t>
      </w:r>
      <w:proofErr w:type="spellEnd"/>
      <w:r>
        <w:t xml:space="preserve"> </w:t>
      </w:r>
      <w:proofErr w:type="spellStart"/>
      <w:r>
        <w:t>șomajul</w:t>
      </w:r>
      <w:proofErr w:type="spellEnd"/>
      <w:r>
        <w:t xml:space="preserve"> rural, ci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adâncește</w:t>
      </w:r>
      <w:proofErr w:type="spellEnd"/>
      <w:r>
        <w:t xml:space="preserve"> </w:t>
      </w:r>
      <w:proofErr w:type="spellStart"/>
      <w:r>
        <w:t>polarizarea</w:t>
      </w:r>
      <w:proofErr w:type="spellEnd"/>
      <w:r>
        <w:t xml:space="preserve">. O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durabilă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fie </w:t>
      </w:r>
      <w:proofErr w:type="spellStart"/>
      <w:r>
        <w:t>aducerea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de </w:t>
      </w:r>
      <w:proofErr w:type="spellStart"/>
      <w:r>
        <w:t>comunitățile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micilor</w:t>
      </w:r>
      <w:proofErr w:type="spellEnd"/>
      <w:r>
        <w:t xml:space="preserve"> </w:t>
      </w:r>
      <w:proofErr w:type="spellStart"/>
      <w:r>
        <w:t>întreprinderi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lastRenderedPageBreak/>
        <w:t>moderne</w:t>
      </w:r>
      <w:proofErr w:type="spellEnd"/>
      <w:r>
        <w:t xml:space="preserve">, fie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serioase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infrastructura</w:t>
      </w:r>
      <w:proofErr w:type="spellEnd"/>
      <w:r>
        <w:t xml:space="preserve"> de transport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transforme</w:t>
      </w:r>
      <w:proofErr w:type="spellEnd"/>
      <w:r>
        <w:t xml:space="preserve"> naveta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opțiune</w:t>
      </w:r>
      <w:proofErr w:type="spellEnd"/>
      <w:r>
        <w:t xml:space="preserve"> </w:t>
      </w:r>
      <w:proofErr w:type="spellStart"/>
      <w:r>
        <w:t>realistă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unuia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demersuri</w:t>
      </w:r>
      <w:proofErr w:type="spellEnd"/>
      <w:r>
        <w:t xml:space="preserve">, </w:t>
      </w:r>
      <w:proofErr w:type="spellStart"/>
      <w:r>
        <w:t>dezechilibrul</w:t>
      </w:r>
      <w:proofErr w:type="spellEnd"/>
      <w:r>
        <w:t xml:space="preserve"> urban-rural </w:t>
      </w:r>
      <w:proofErr w:type="spellStart"/>
      <w:r>
        <w:t>va</w:t>
      </w:r>
      <w:proofErr w:type="spellEnd"/>
      <w:r>
        <w:t xml:space="preserve"> continua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definească</w:t>
      </w:r>
      <w:proofErr w:type="spellEnd"/>
      <w:r>
        <w:t xml:space="preserve">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de </w:t>
      </w:r>
      <w:proofErr w:type="spellStart"/>
      <w:r>
        <w:t>evoluția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globale</w:t>
      </w:r>
      <w:proofErr w:type="spellEnd"/>
      <w:r>
        <w:t>.</w:t>
      </w:r>
    </w:p>
    <w:p w14:paraId="71F1AA81" w14:textId="77777777" w:rsidR="00B57A6D" w:rsidRDefault="00000000">
      <w:pPr>
        <w:pStyle w:val="Heading1"/>
        <w:pageBreakBefore/>
      </w:pPr>
      <w:bookmarkStart w:id="23" w:name="_Toc232697858"/>
      <w:r>
        <w:lastRenderedPageBreak/>
        <w:t xml:space="preserve">17. </w:t>
      </w:r>
      <w:proofErr w:type="spellStart"/>
      <w:r>
        <w:t>Șomajul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cronicizarea</w:t>
      </w:r>
      <w:bookmarkEnd w:id="23"/>
      <w:proofErr w:type="spellEnd"/>
    </w:p>
    <w:p w14:paraId="5F271A5C" w14:textId="77777777" w:rsidR="00B57A6D" w:rsidRDefault="00000000">
      <w:pPr>
        <w:spacing w:after="160" w:line="360" w:lineRule="auto"/>
        <w:jc w:val="both"/>
      </w:pPr>
      <w:r>
        <w:t xml:space="preserve">Un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fenomen</w:t>
      </w:r>
      <w:proofErr w:type="spellEnd"/>
      <w:r>
        <w:t xml:space="preserve"> care </w:t>
      </w:r>
      <w:proofErr w:type="spellStart"/>
      <w:r>
        <w:t>merită</w:t>
      </w:r>
      <w:proofErr w:type="spellEnd"/>
      <w:r>
        <w:t xml:space="preserve"> </w:t>
      </w:r>
      <w:proofErr w:type="spellStart"/>
      <w:r>
        <w:t>tratat</w:t>
      </w:r>
      <w:proofErr w:type="spellEnd"/>
      <w:r>
        <w:t xml:space="preserve"> distinct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șomajul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.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deosebire</w:t>
      </w:r>
      <w:proofErr w:type="spellEnd"/>
      <w:r>
        <w:t xml:space="preserve"> de </w:t>
      </w:r>
      <w:proofErr w:type="spellStart"/>
      <w:r>
        <w:t>șomajul</w:t>
      </w:r>
      <w:proofErr w:type="spellEnd"/>
      <w:r>
        <w:t xml:space="preserve"> conjunctural, </w:t>
      </w:r>
      <w:proofErr w:type="spellStart"/>
      <w:r>
        <w:t>legat</w:t>
      </w:r>
      <w:proofErr w:type="spellEnd"/>
      <w:r>
        <w:t xml:space="preserve"> de </w:t>
      </w:r>
      <w:proofErr w:type="spellStart"/>
      <w:r>
        <w:t>pierderea</w:t>
      </w:r>
      <w:proofErr w:type="spellEnd"/>
      <w:r>
        <w:t xml:space="preserve"> </w:t>
      </w:r>
      <w:proofErr w:type="spellStart"/>
      <w:r>
        <w:t>recentă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urmat</w:t>
      </w:r>
      <w:proofErr w:type="spellEnd"/>
      <w:r>
        <w:t xml:space="preserve"> de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scurtă</w:t>
      </w:r>
      <w:proofErr w:type="spellEnd"/>
      <w:r>
        <w:t xml:space="preserve"> de </w:t>
      </w:r>
      <w:proofErr w:type="spellStart"/>
      <w:r>
        <w:t>căutare</w:t>
      </w:r>
      <w:proofErr w:type="spellEnd"/>
      <w:r>
        <w:t xml:space="preserve">, </w:t>
      </w:r>
      <w:proofErr w:type="spellStart"/>
      <w:r>
        <w:t>șomajul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ocupație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</w:t>
      </w:r>
      <w:proofErr w:type="spellStart"/>
      <w:r>
        <w:t>luni</w:t>
      </w:r>
      <w:proofErr w:type="spellEnd"/>
      <w:r>
        <w:t xml:space="preserve">, </w:t>
      </w:r>
      <w:proofErr w:type="spellStart"/>
      <w:r>
        <w:t>uneori</w:t>
      </w:r>
      <w:proofErr w:type="spellEnd"/>
      <w:r>
        <w:t xml:space="preserve"> ani la </w:t>
      </w:r>
      <w:proofErr w:type="spellStart"/>
      <w:r>
        <w:t>rând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pierd</w:t>
      </w:r>
      <w:proofErr w:type="spellEnd"/>
      <w:r>
        <w:t xml:space="preserve"> </w:t>
      </w:r>
      <w:proofErr w:type="spellStart"/>
      <w:r>
        <w:t>treptat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, </w:t>
      </w:r>
      <w:proofErr w:type="spellStart"/>
      <w:r>
        <w:t>încrederea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legătura</w:t>
      </w:r>
      <w:proofErr w:type="spellEnd"/>
      <w:r>
        <w:t xml:space="preserve"> cu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rata </w:t>
      </w:r>
      <w:proofErr w:type="spellStart"/>
      <w:r>
        <w:t>șomajului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se </w:t>
      </w:r>
      <w:proofErr w:type="spellStart"/>
      <w:r>
        <w:t>situa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de 2,1%, cu o </w:t>
      </w:r>
      <w:proofErr w:type="spellStart"/>
      <w:r>
        <w:t>incidență</w:t>
      </w:r>
      <w:proofErr w:type="spellEnd"/>
      <w:r>
        <w:t xml:space="preserve"> de </w:t>
      </w:r>
      <w:proofErr w:type="spellStart"/>
      <w:r>
        <w:t>aproximativ</w:t>
      </w:r>
      <w:proofErr w:type="spellEnd"/>
      <w:r>
        <w:t xml:space="preserve"> 35% din </w:t>
      </w:r>
      <w:proofErr w:type="spellStart"/>
      <w:r>
        <w:t>totalul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. (Digi24, 22 </w:t>
      </w:r>
      <w:proofErr w:type="spellStart"/>
      <w:r>
        <w:t>aprilie</w:t>
      </w:r>
      <w:proofErr w:type="spellEnd"/>
      <w:r>
        <w:t xml:space="preserve"> 2026)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regiunea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indiciile</w:t>
      </w:r>
      <w:proofErr w:type="spellEnd"/>
      <w:r>
        <w:t xml:space="preserve"> </w:t>
      </w:r>
      <w:proofErr w:type="spellStart"/>
      <w:r>
        <w:t>arată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>.</w:t>
      </w:r>
    </w:p>
    <w:p w14:paraId="7A2B333B" w14:textId="77777777" w:rsidR="00B57A6D" w:rsidRDefault="00000000">
      <w:pPr>
        <w:spacing w:after="160" w:line="360" w:lineRule="auto"/>
        <w:jc w:val="both"/>
      </w:pPr>
      <w:r>
        <w:t xml:space="preserve">Cel </w:t>
      </w:r>
      <w:proofErr w:type="spellStart"/>
      <w:r>
        <w:t>mai</w:t>
      </w:r>
      <w:proofErr w:type="spellEnd"/>
      <w:r>
        <w:t xml:space="preserve"> bun indicator indirect al </w:t>
      </w:r>
      <w:proofErr w:type="spellStart"/>
      <w:r>
        <w:t>cronicizării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spellStart"/>
      <w:r>
        <w:t>neindemnizați</w:t>
      </w:r>
      <w:proofErr w:type="spellEnd"/>
      <w:r>
        <w:t xml:space="preserve">. </w:t>
      </w:r>
      <w:proofErr w:type="spellStart"/>
      <w:r>
        <w:t>Indemnizația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limitată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care </w:t>
      </w:r>
      <w:proofErr w:type="spellStart"/>
      <w:r>
        <w:t>persoana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nu s-</w:t>
      </w:r>
      <w:proofErr w:type="gramStart"/>
      <w:r>
        <w:t>a</w:t>
      </w:r>
      <w:proofErr w:type="gramEnd"/>
      <w:r>
        <w:t xml:space="preserve"> </w:t>
      </w:r>
      <w:proofErr w:type="spellStart"/>
      <w:r>
        <w:t>angajat</w:t>
      </w:r>
      <w:proofErr w:type="spellEnd"/>
      <w:r>
        <w:t xml:space="preserve">,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.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neindemnizaților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80%,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90%, ca </w:t>
      </w:r>
      <w:proofErr w:type="spellStart"/>
      <w:r>
        <w:t>în</w:t>
      </w:r>
      <w:proofErr w:type="spellEnd"/>
      <w:r>
        <w:t xml:space="preserve"> Dolj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,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majoritatea</w:t>
      </w:r>
      <w:proofErr w:type="spellEnd"/>
      <w:r>
        <w:t xml:space="preserve"> </w:t>
      </w:r>
      <w:proofErr w:type="spellStart"/>
      <w:r>
        <w:t>covârșitoare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de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mai</w:t>
      </w:r>
      <w:proofErr w:type="spellEnd"/>
      <w:r>
        <w:t xml:space="preserve">, din 7.246 de </w:t>
      </w:r>
      <w:proofErr w:type="spellStart"/>
      <w:r>
        <w:t>șomeri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1.091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indemnizați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6.155 </w:t>
      </w:r>
      <w:proofErr w:type="spellStart"/>
      <w:r>
        <w:t>neindemnizați</w:t>
      </w:r>
      <w:proofErr w:type="spellEnd"/>
      <w:r>
        <w:t xml:space="preserve">.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descriu</w:t>
      </w:r>
      <w:proofErr w:type="spellEnd"/>
      <w:r>
        <w:t xml:space="preserve"> o </w:t>
      </w:r>
      <w:proofErr w:type="spellStart"/>
      <w:r>
        <w:t>populație</w:t>
      </w:r>
      <w:proofErr w:type="spellEnd"/>
      <w:r>
        <w:t xml:space="preserve"> </w:t>
      </w:r>
      <w:proofErr w:type="spellStart"/>
      <w:r>
        <w:t>blocată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reintegrarea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devine</w:t>
      </w:r>
      <w:proofErr w:type="spellEnd"/>
      <w:r>
        <w:t xml:space="preserve"> tot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dificilă</w:t>
      </w:r>
      <w:proofErr w:type="spellEnd"/>
      <w:r>
        <w:t xml:space="preserve"> cu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lună</w:t>
      </w:r>
      <w:proofErr w:type="spellEnd"/>
      <w:r>
        <w:t xml:space="preserve"> care </w:t>
      </w:r>
      <w:proofErr w:type="spellStart"/>
      <w:r>
        <w:t>trece</w:t>
      </w:r>
      <w:proofErr w:type="spellEnd"/>
      <w:r>
        <w:t>.</w:t>
      </w:r>
    </w:p>
    <w:p w14:paraId="66594948" w14:textId="77777777" w:rsidR="00B57A6D" w:rsidRDefault="00000000">
      <w:pPr>
        <w:spacing w:after="160" w:line="360" w:lineRule="auto"/>
        <w:jc w:val="both"/>
      </w:pPr>
      <w:proofErr w:type="spellStart"/>
      <w:r>
        <w:t>Profilarea</w:t>
      </w:r>
      <w:proofErr w:type="spellEnd"/>
      <w:r>
        <w:t xml:space="preserve"> </w:t>
      </w:r>
      <w:proofErr w:type="spellStart"/>
      <w:r>
        <w:t>ocupabilității</w:t>
      </w:r>
      <w:proofErr w:type="spellEnd"/>
      <w:r>
        <w:t xml:space="preserve">,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agenții</w:t>
      </w:r>
      <w:proofErr w:type="spellEnd"/>
      <w:r>
        <w:t xml:space="preserve">,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realitate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Mehedinți, </w:t>
      </w:r>
      <w:proofErr w:type="spellStart"/>
      <w:r>
        <w:t>peste</w:t>
      </w:r>
      <w:proofErr w:type="spellEnd"/>
      <w:r>
        <w:t xml:space="preserve"> 5.300 din </w:t>
      </w:r>
      <w:proofErr w:type="spellStart"/>
      <w:r>
        <w:t>cei</w:t>
      </w:r>
      <w:proofErr w:type="spellEnd"/>
      <w:r>
        <w:t xml:space="preserve"> 7.246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încadrați</w:t>
      </w:r>
      <w:proofErr w:type="spellEnd"/>
      <w:r>
        <w:t xml:space="preserve"> ca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ocupabili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ca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situația</w:t>
      </w:r>
      <w:proofErr w:type="spellEnd"/>
      <w:r>
        <w:t xml:space="preserve"> era </w:t>
      </w:r>
      <w:proofErr w:type="spellStart"/>
      <w:r>
        <w:t>considerabil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, cu 411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 </w:t>
      </w:r>
      <w:proofErr w:type="spellStart"/>
      <w:r>
        <w:t>ocupabile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explică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reușește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mențină</w:t>
      </w:r>
      <w:proofErr w:type="spellEnd"/>
      <w:r>
        <w:t xml:space="preserve"> o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scăzută</w:t>
      </w:r>
      <w:proofErr w:type="spellEnd"/>
      <w:r>
        <w:t xml:space="preserve">: </w:t>
      </w:r>
      <w:proofErr w:type="spellStart"/>
      <w:r>
        <w:t>șomajul</w:t>
      </w:r>
      <w:proofErr w:type="spellEnd"/>
      <w:r>
        <w:t xml:space="preserve"> </w:t>
      </w:r>
      <w:proofErr w:type="spellStart"/>
      <w:r>
        <w:t>vâlcean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proporție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mare, </w:t>
      </w:r>
      <w:proofErr w:type="spellStart"/>
      <w:r>
        <w:t>unul</w:t>
      </w:r>
      <w:proofErr w:type="spellEnd"/>
      <w:r>
        <w:t xml:space="preserve"> conjunctural, din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ies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</w:t>
      </w:r>
      <w:proofErr w:type="spellStart"/>
      <w:r>
        <w:t>repede</w:t>
      </w:r>
      <w:proofErr w:type="spellEnd"/>
      <w:r>
        <w:t xml:space="preserve">. </w:t>
      </w:r>
      <w:proofErr w:type="spellStart"/>
      <w:r>
        <w:t>Contrastul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</w:t>
      </w:r>
      <w:proofErr w:type="spellStart"/>
      <w:r>
        <w:t>rezumă</w:t>
      </w:r>
      <w:proofErr w:type="spellEnd"/>
      <w:r>
        <w:t xml:space="preserve"> o </w:t>
      </w:r>
      <w:proofErr w:type="spellStart"/>
      <w:r>
        <w:t>distincție</w:t>
      </w:r>
      <w:proofErr w:type="spellEnd"/>
      <w:r>
        <w:t xml:space="preserve"> </w:t>
      </w:r>
      <w:proofErr w:type="spellStart"/>
      <w:r>
        <w:t>esențială</w:t>
      </w:r>
      <w:proofErr w:type="spellEnd"/>
      <w:r>
        <w:t xml:space="preserve">: rata </w:t>
      </w:r>
      <w:proofErr w:type="spellStart"/>
      <w:r>
        <w:t>globală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</w:t>
      </w:r>
      <w:proofErr w:type="spellStart"/>
      <w:r>
        <w:t>mulți</w:t>
      </w:r>
      <w:proofErr w:type="spellEnd"/>
      <w:r>
        <w:t xml:space="preserve"> sunt </w:t>
      </w:r>
      <w:proofErr w:type="spellStart"/>
      <w:r>
        <w:t>fără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ponderea</w:t>
      </w:r>
      <w:proofErr w:type="spellEnd"/>
      <w:r>
        <w:t xml:space="preserve">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ocupabililor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neindemnizaților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de </w:t>
      </w:r>
      <w:proofErr w:type="spellStart"/>
      <w:r>
        <w:t>greu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aducem</w:t>
      </w:r>
      <w:proofErr w:type="spellEnd"/>
      <w:r>
        <w:t xml:space="preserve"> </w:t>
      </w:r>
      <w:proofErr w:type="spellStart"/>
      <w:r>
        <w:t>înapoi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>.</w:t>
      </w:r>
    </w:p>
    <w:p w14:paraId="0A5D29C0" w14:textId="77777777" w:rsidR="00B57A6D" w:rsidRDefault="00000000">
      <w:pPr>
        <w:spacing w:after="160" w:line="360" w:lineRule="auto"/>
        <w:jc w:val="both"/>
      </w:pPr>
      <w:proofErr w:type="spellStart"/>
      <w:r>
        <w:t>Cronicizarea</w:t>
      </w:r>
      <w:proofErr w:type="spellEnd"/>
      <w:r>
        <w:t xml:space="preserve"> are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dimensiune</w:t>
      </w:r>
      <w:proofErr w:type="spellEnd"/>
      <w:r>
        <w:t xml:space="preserve"> </w:t>
      </w:r>
      <w:proofErr w:type="spellStart"/>
      <w:r>
        <w:t>intergenerațională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comunitățile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întreagă</w:t>
      </w:r>
      <w:proofErr w:type="spellEnd"/>
      <w:r>
        <w:t xml:space="preserve"> </w:t>
      </w:r>
      <w:proofErr w:type="spellStart"/>
      <w:r>
        <w:t>generație</w:t>
      </w:r>
      <w:proofErr w:type="spellEnd"/>
      <w:r>
        <w:t xml:space="preserve"> nu 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un loc de </w:t>
      </w:r>
      <w:proofErr w:type="spellStart"/>
      <w:r>
        <w:t>muncă</w:t>
      </w:r>
      <w:proofErr w:type="spellEnd"/>
      <w:r>
        <w:t xml:space="preserve"> formal,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cresc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salariate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orizontul</w:t>
      </w:r>
      <w:proofErr w:type="spellEnd"/>
      <w:r>
        <w:t xml:space="preserve"> </w:t>
      </w:r>
      <w:proofErr w:type="spellStart"/>
      <w:r>
        <w:t>ocupării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perpetuează</w:t>
      </w:r>
      <w:proofErr w:type="spellEnd"/>
      <w:r>
        <w:t xml:space="preserve"> </w:t>
      </w:r>
      <w:proofErr w:type="spellStart"/>
      <w:r>
        <w:t>dependența</w:t>
      </w:r>
      <w:proofErr w:type="spellEnd"/>
      <w:r>
        <w:t xml:space="preserve"> de </w:t>
      </w:r>
      <w:proofErr w:type="spellStart"/>
      <w:r>
        <w:t>transferurile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agricultura</w:t>
      </w:r>
      <w:proofErr w:type="spellEnd"/>
      <w:r>
        <w:t xml:space="preserve"> de </w:t>
      </w:r>
      <w:proofErr w:type="spellStart"/>
      <w:r>
        <w:t>subzistență</w:t>
      </w:r>
      <w:proofErr w:type="spellEnd"/>
      <w:r>
        <w:t xml:space="preserve">. </w:t>
      </w:r>
      <w:proofErr w:type="spellStart"/>
      <w:r>
        <w:t>Ruperea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cerc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intervenții</w:t>
      </w:r>
      <w:proofErr w:type="spellEnd"/>
      <w:r>
        <w:t xml:space="preserve"> care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a </w:t>
      </w:r>
      <w:proofErr w:type="spellStart"/>
      <w:r>
        <w:t>politicilor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, </w:t>
      </w:r>
      <w:proofErr w:type="spellStart"/>
      <w:r>
        <w:t>atingând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,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. </w:t>
      </w:r>
      <w:proofErr w:type="spellStart"/>
      <w:r>
        <w:t>Tocmai</w:t>
      </w:r>
      <w:proofErr w:type="spellEnd"/>
      <w:r>
        <w:t xml:space="preserve">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lastRenderedPageBreak/>
        <w:t>măsurile</w:t>
      </w:r>
      <w:proofErr w:type="spellEnd"/>
      <w:r>
        <w:t xml:space="preserve"> active de </w:t>
      </w:r>
      <w:proofErr w:type="spellStart"/>
      <w:r>
        <w:t>ocupare</w:t>
      </w:r>
      <w:proofErr w:type="spellEnd"/>
      <w:r>
        <w:t xml:space="preserve">, </w:t>
      </w:r>
      <w:proofErr w:type="spellStart"/>
      <w:r>
        <w:t>oricât</w:t>
      </w:r>
      <w:proofErr w:type="spellEnd"/>
      <w:r>
        <w:t xml:space="preserve"> de bine </w:t>
      </w:r>
      <w:proofErr w:type="spellStart"/>
      <w:r>
        <w:t>concepute</w:t>
      </w:r>
      <w:proofErr w:type="spellEnd"/>
      <w:r>
        <w:t xml:space="preserve">, nu pot </w:t>
      </w:r>
      <w:proofErr w:type="spellStart"/>
      <w:r>
        <w:t>rezolva</w:t>
      </w:r>
      <w:proofErr w:type="spellEnd"/>
      <w:r>
        <w:t xml:space="preserve"> </w:t>
      </w:r>
      <w:proofErr w:type="spellStart"/>
      <w:r>
        <w:t>singure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de </w:t>
      </w:r>
      <w:proofErr w:type="spellStart"/>
      <w:r>
        <w:t>lungă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din </w:t>
      </w:r>
      <w:proofErr w:type="spellStart"/>
      <w:r>
        <w:t>regiune</w:t>
      </w:r>
      <w:proofErr w:type="spellEnd"/>
      <w:r>
        <w:t>.</w:t>
      </w:r>
    </w:p>
    <w:p w14:paraId="33174F04" w14:textId="3829E556" w:rsidR="00B57A6D" w:rsidRDefault="00B57A6D">
      <w:pPr>
        <w:pageBreakBefore/>
        <w:spacing w:after="220"/>
      </w:pPr>
    </w:p>
    <w:p w14:paraId="203F22FF" w14:textId="77777777" w:rsidR="00B57A6D" w:rsidRDefault="00000000">
      <w:pPr>
        <w:pStyle w:val="Heading1"/>
      </w:pPr>
      <w:bookmarkStart w:id="24" w:name="_Toc232697859"/>
      <w:r>
        <w:t xml:space="preserve">18. </w:t>
      </w:r>
      <w:proofErr w:type="spellStart"/>
      <w:r>
        <w:t>Comparație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</w:t>
      </w:r>
      <w:proofErr w:type="spellStart"/>
      <w:r>
        <w:t>trimestru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2026</w:t>
      </w:r>
      <w:bookmarkEnd w:id="24"/>
    </w:p>
    <w:p w14:paraId="312E629C" w14:textId="77777777" w:rsidR="00B57A6D" w:rsidRDefault="00000000">
      <w:pPr>
        <w:spacing w:after="160" w:line="360" w:lineRule="auto"/>
        <w:jc w:val="both"/>
      </w:pPr>
      <w:proofErr w:type="spellStart"/>
      <w:r>
        <w:t>Punerea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o </w:t>
      </w:r>
      <w:proofErr w:type="spellStart"/>
      <w:r>
        <w:t>lectură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desfășurare</w:t>
      </w:r>
      <w:proofErr w:type="spellEnd"/>
      <w:r>
        <w:t xml:space="preserve">, nu </w:t>
      </w:r>
      <w:proofErr w:type="spellStart"/>
      <w:r>
        <w:t>doar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moment </w:t>
      </w:r>
      <w:proofErr w:type="spellStart"/>
      <w:r>
        <w:t>izolat</w:t>
      </w:r>
      <w:proofErr w:type="spellEnd"/>
      <w:r>
        <w:t xml:space="preserve">.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a </w:t>
      </w:r>
      <w:proofErr w:type="spellStart"/>
      <w:r>
        <w:t>coborât</w:t>
      </w:r>
      <w:proofErr w:type="spellEnd"/>
      <w:r>
        <w:t xml:space="preserve"> de la 3,35%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la 3,24%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numărul</w:t>
      </w:r>
      <w:proofErr w:type="spellEnd"/>
      <w:r>
        <w:t xml:space="preserve"> total al </w:t>
      </w:r>
      <w:proofErr w:type="spellStart"/>
      <w:r>
        <w:t>șomerilor</w:t>
      </w:r>
      <w:proofErr w:type="spellEnd"/>
      <w:r>
        <w:t xml:space="preserve"> a </w:t>
      </w:r>
      <w:proofErr w:type="spellStart"/>
      <w:r>
        <w:t>scăzut</w:t>
      </w:r>
      <w:proofErr w:type="spellEnd"/>
      <w:r>
        <w:t xml:space="preserve"> de la 268.111 la 259.160.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 de </w:t>
      </w:r>
      <w:proofErr w:type="spellStart"/>
      <w:r>
        <w:t>aproape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mii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sezonieră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</w:t>
      </w:r>
      <w:proofErr w:type="spellStart"/>
      <w:r>
        <w:t>odată</w:t>
      </w:r>
      <w:proofErr w:type="spellEnd"/>
      <w:r>
        <w:t xml:space="preserve"> cu </w:t>
      </w:r>
      <w:proofErr w:type="spellStart"/>
      <w:r>
        <w:t>venirea</w:t>
      </w:r>
      <w:proofErr w:type="spellEnd"/>
      <w:r>
        <w:t xml:space="preserve"> </w:t>
      </w:r>
      <w:proofErr w:type="spellStart"/>
      <w:r>
        <w:t>primăverii</w:t>
      </w:r>
      <w:proofErr w:type="spellEnd"/>
      <w:r>
        <w:t xml:space="preserve">. Rata BIM </w:t>
      </w:r>
      <w:proofErr w:type="spellStart"/>
      <w:r>
        <w:t>calculată</w:t>
      </w:r>
      <w:proofErr w:type="spellEnd"/>
      <w:r>
        <w:t xml:space="preserve"> de </w:t>
      </w:r>
      <w:proofErr w:type="spellStart"/>
      <w:r>
        <w:t>Institutul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 a </w:t>
      </w:r>
      <w:proofErr w:type="spellStart"/>
      <w:r>
        <w:t>urmat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direcție</w:t>
      </w:r>
      <w:proofErr w:type="spellEnd"/>
      <w:r>
        <w:t xml:space="preserve">, </w:t>
      </w:r>
      <w:proofErr w:type="spellStart"/>
      <w:r>
        <w:t>coborând</w:t>
      </w:r>
      <w:proofErr w:type="spellEnd"/>
      <w:r>
        <w:t xml:space="preserve"> la 6,3%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>.</w:t>
      </w:r>
    </w:p>
    <w:p w14:paraId="5B89C992" w14:textId="77777777" w:rsidR="00B57A6D" w:rsidRDefault="00000000">
      <w:pPr>
        <w:spacing w:after="160" w:line="360" w:lineRule="auto"/>
        <w:jc w:val="both"/>
      </w:pPr>
      <w:r>
        <w:t xml:space="preserve">La </w:t>
      </w:r>
      <w:proofErr w:type="spellStart"/>
      <w:r>
        <w:t>nivel</w:t>
      </w:r>
      <w:proofErr w:type="spellEnd"/>
      <w:r>
        <w:t xml:space="preserve"> regional, </w:t>
      </w:r>
      <w:proofErr w:type="spellStart"/>
      <w:r>
        <w:t>evoluția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inegală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inegalitate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lecția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. </w:t>
      </w:r>
      <w:proofErr w:type="spellStart"/>
      <w:r>
        <w:t>Vâlcea</w:t>
      </w:r>
      <w:proofErr w:type="spellEnd"/>
      <w:r>
        <w:t xml:space="preserve"> a </w:t>
      </w:r>
      <w:proofErr w:type="spellStart"/>
      <w:r>
        <w:t>parcurs</w:t>
      </w:r>
      <w:proofErr w:type="spellEnd"/>
      <w:r>
        <w:t xml:space="preserve"> </w:t>
      </w:r>
      <w:proofErr w:type="spellStart"/>
      <w:r>
        <w:t>traseul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, </w:t>
      </w:r>
      <w:proofErr w:type="spellStart"/>
      <w:r>
        <w:t>coborând</w:t>
      </w:r>
      <w:proofErr w:type="spellEnd"/>
      <w:r>
        <w:t xml:space="preserve"> de la 3,24% la 2,82%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intrând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. Olt a </w:t>
      </w:r>
      <w:proofErr w:type="spellStart"/>
      <w:r>
        <w:t>înregistrat</w:t>
      </w:r>
      <w:proofErr w:type="spellEnd"/>
      <w:r>
        <w:t xml:space="preserve">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ameliorare</w:t>
      </w:r>
      <w:proofErr w:type="spellEnd"/>
      <w:r>
        <w:t xml:space="preserve">, de la 6,22% la 6,01%. </w:t>
      </w:r>
      <w:proofErr w:type="spellStart"/>
      <w:r>
        <w:t>Mehedinți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oscilat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de 8,7%, cu o </w:t>
      </w:r>
      <w:proofErr w:type="spellStart"/>
      <w:r>
        <w:t>ușoară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revenire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. Dolj s-a </w:t>
      </w:r>
      <w:proofErr w:type="spellStart"/>
      <w:r>
        <w:t>menținut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județelor</w:t>
      </w:r>
      <w:proofErr w:type="spellEnd"/>
      <w:r>
        <w:t xml:space="preserve"> cu </w:t>
      </w:r>
      <w:proofErr w:type="spellStart"/>
      <w:r>
        <w:t>rată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8%,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mișcări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. Gorj a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excepția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singurul</w:t>
      </w:r>
      <w:proofErr w:type="spellEnd"/>
      <w:r>
        <w:t xml:space="preserve"> </w:t>
      </w:r>
      <w:proofErr w:type="spellStart"/>
      <w:r>
        <w:t>județ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rata a </w:t>
      </w:r>
      <w:proofErr w:type="spellStart"/>
      <w:r>
        <w:t>crescut</w:t>
      </w:r>
      <w:proofErr w:type="spellEnd"/>
      <w:r>
        <w:t xml:space="preserve">, sub </w:t>
      </w:r>
      <w:proofErr w:type="spellStart"/>
      <w:r>
        <w:t>efectul</w:t>
      </w:r>
      <w:proofErr w:type="spellEnd"/>
      <w:r>
        <w:t xml:space="preserve"> direct al </w:t>
      </w:r>
      <w:proofErr w:type="spellStart"/>
      <w:r>
        <w:t>încetării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determinate din </w:t>
      </w:r>
      <w:proofErr w:type="spellStart"/>
      <w:r>
        <w:t>sectorul</w:t>
      </w:r>
      <w:proofErr w:type="spellEnd"/>
      <w:r>
        <w:t xml:space="preserve"> energetic.</w:t>
      </w:r>
    </w:p>
    <w:p w14:paraId="5006CA25" w14:textId="77777777" w:rsidR="00B57A6D" w:rsidRDefault="00000000">
      <w:pPr>
        <w:spacing w:after="160" w:line="360" w:lineRule="auto"/>
        <w:jc w:val="both"/>
      </w:pPr>
      <w:proofErr w:type="spellStart"/>
      <w:r>
        <w:t>Comparația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trimestre</w:t>
      </w:r>
      <w:proofErr w:type="spellEnd"/>
      <w:r>
        <w:t xml:space="preserve"> </w:t>
      </w:r>
      <w:proofErr w:type="spellStart"/>
      <w:r>
        <w:t>confirmă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mișcarea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de </w:t>
      </w:r>
      <w:proofErr w:type="spellStart"/>
      <w:r>
        <w:t>scădere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, </w:t>
      </w:r>
      <w:proofErr w:type="spellStart"/>
      <w:r>
        <w:t>vizibilă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se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o </w:t>
      </w:r>
      <w:proofErr w:type="spellStart"/>
      <w:r>
        <w:t>permite</w:t>
      </w:r>
      <w:proofErr w:type="spellEnd"/>
      <w:r>
        <w:t xml:space="preserve">.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o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diversificată</w:t>
      </w:r>
      <w:proofErr w:type="spellEnd"/>
      <w:r>
        <w:t xml:space="preserve">,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</w:t>
      </w:r>
      <w:proofErr w:type="spellStart"/>
      <w:r>
        <w:t>ameliorarea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consistentă</w:t>
      </w:r>
      <w:proofErr w:type="spellEnd"/>
      <w:r>
        <w:t xml:space="preserve">.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depinde</w:t>
      </w:r>
      <w:proofErr w:type="spellEnd"/>
      <w:r>
        <w:t xml:space="preserve"> de un </w:t>
      </w:r>
      <w:proofErr w:type="spellStart"/>
      <w:r>
        <w:t>singur</w:t>
      </w:r>
      <w:proofErr w:type="spellEnd"/>
      <w:r>
        <w:t xml:space="preserve"> sector </w:t>
      </w:r>
      <w:proofErr w:type="spellStart"/>
      <w:r>
        <w:t>aflat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restructurare</w:t>
      </w:r>
      <w:proofErr w:type="spellEnd"/>
      <w:r>
        <w:t xml:space="preserve">, ca </w:t>
      </w:r>
      <w:proofErr w:type="spellStart"/>
      <w:r>
        <w:t>în</w:t>
      </w:r>
      <w:proofErr w:type="spellEnd"/>
      <w:r>
        <w:t xml:space="preserve"> Gorj, </w:t>
      </w:r>
      <w:proofErr w:type="spellStart"/>
      <w:r>
        <w:t>factorii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pot </w:t>
      </w:r>
      <w:proofErr w:type="spellStart"/>
      <w:r>
        <w:t>anula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sezonier</w:t>
      </w:r>
      <w:proofErr w:type="spellEnd"/>
      <w:r>
        <w:t xml:space="preserve">.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fond, </w:t>
      </w:r>
      <w:proofErr w:type="spellStart"/>
      <w:r>
        <w:t>legată</w:t>
      </w:r>
      <w:proofErr w:type="spellEnd"/>
      <w:r>
        <w:t xml:space="preserve"> de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, 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Dolj,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sezonul</w:t>
      </w:r>
      <w:proofErr w:type="spellEnd"/>
      <w:r>
        <w:t xml:space="preserve"> </w:t>
      </w:r>
      <w:proofErr w:type="spellStart"/>
      <w:r>
        <w:t>cald</w:t>
      </w:r>
      <w:proofErr w:type="spellEnd"/>
      <w:r>
        <w:t xml:space="preserve"> nu </w:t>
      </w:r>
      <w:proofErr w:type="spellStart"/>
      <w:r>
        <w:t>reușește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producă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o </w:t>
      </w:r>
      <w:proofErr w:type="spellStart"/>
      <w:r>
        <w:t>respirație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.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cuvinte</w:t>
      </w:r>
      <w:proofErr w:type="spellEnd"/>
      <w:r>
        <w:t xml:space="preserve">, </w:t>
      </w:r>
      <w:proofErr w:type="spellStart"/>
      <w:r>
        <w:t>regiunea</w:t>
      </w:r>
      <w:proofErr w:type="spellEnd"/>
      <w:r>
        <w:t xml:space="preserve"> nu </w:t>
      </w:r>
      <w:proofErr w:type="gramStart"/>
      <w:r>
        <w:t>are</w:t>
      </w:r>
      <w:proofErr w:type="gramEnd"/>
      <w:r>
        <w:t xml:space="preserve">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piață</w:t>
      </w:r>
      <w:proofErr w:type="spellEnd"/>
      <w:r>
        <w:t xml:space="preserve"> a </w:t>
      </w:r>
      <w:proofErr w:type="spellStart"/>
      <w:r>
        <w:t>muncii</w:t>
      </w:r>
      <w:proofErr w:type="spellEnd"/>
      <w:r>
        <w:t xml:space="preserve">, ci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: </w:t>
      </w:r>
      <w:proofErr w:type="spellStart"/>
      <w:r>
        <w:t>una</w:t>
      </w:r>
      <w:proofErr w:type="spellEnd"/>
      <w:r>
        <w:t xml:space="preserve"> care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normal,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blocată</w:t>
      </w:r>
      <w:proofErr w:type="spellEnd"/>
      <w:r>
        <w:t xml:space="preserve"> structural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aflată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plină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dureroasă</w:t>
      </w:r>
      <w:proofErr w:type="spellEnd"/>
      <w:r>
        <w:t>.</w:t>
      </w:r>
    </w:p>
    <w:p w14:paraId="2F85BAB2" w14:textId="77777777" w:rsidR="00B57A6D" w:rsidRDefault="00000000">
      <w:pPr>
        <w:pStyle w:val="Heading1"/>
        <w:pageBreakBefore/>
      </w:pPr>
      <w:bookmarkStart w:id="25" w:name="_Toc232697860"/>
      <w:r>
        <w:lastRenderedPageBreak/>
        <w:t xml:space="preserve">19.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perspective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2026</w:t>
      </w:r>
      <w:bookmarkEnd w:id="25"/>
    </w:p>
    <w:p w14:paraId="3857FC8E" w14:textId="77777777" w:rsidR="00B57A6D" w:rsidRDefault="00000000">
      <w:pPr>
        <w:spacing w:after="160" w:line="360" w:lineRule="auto"/>
        <w:jc w:val="both"/>
      </w:pPr>
      <w:proofErr w:type="spellStart"/>
      <w:r>
        <w:t>Perspectivele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jumătate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anului</w:t>
      </w:r>
      <w:proofErr w:type="spellEnd"/>
      <w:r>
        <w:t xml:space="preserve"> sunt mixte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depind</w:t>
      </w:r>
      <w:proofErr w:type="spellEnd"/>
      <w:r>
        <w:t xml:space="preserve"> de </w:t>
      </w:r>
      <w:proofErr w:type="spellStart"/>
      <w:r>
        <w:t>echilibrul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câțiva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care </w:t>
      </w:r>
      <w:proofErr w:type="spellStart"/>
      <w:r>
        <w:t>acționează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sensuri</w:t>
      </w:r>
      <w:proofErr w:type="spellEnd"/>
      <w:r>
        <w:t xml:space="preserve"> </w:t>
      </w:r>
      <w:proofErr w:type="spellStart"/>
      <w:r>
        <w:t>opuse</w:t>
      </w:r>
      <w:proofErr w:type="spellEnd"/>
      <w:r>
        <w:t xml:space="preserve">. 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favorabilă</w:t>
      </w:r>
      <w:proofErr w:type="spellEnd"/>
      <w:r>
        <w:t xml:space="preserve">,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infrastructură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, </w:t>
      </w:r>
      <w:proofErr w:type="spellStart"/>
      <w:r>
        <w:t>printre</w:t>
      </w:r>
      <w:proofErr w:type="spellEnd"/>
      <w:r>
        <w:t xml:space="preserve"> care </w:t>
      </w:r>
      <w:proofErr w:type="spellStart"/>
      <w:r>
        <w:t>segmente</w:t>
      </w:r>
      <w:proofErr w:type="spellEnd"/>
      <w:r>
        <w:t xml:space="preserve"> de drum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autostradă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genera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verii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toamnei</w:t>
      </w:r>
      <w:proofErr w:type="spellEnd"/>
      <w:r>
        <w:t xml:space="preserve">. </w:t>
      </w:r>
      <w:proofErr w:type="spellStart"/>
      <w:r>
        <w:t>Bugetele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ale </w:t>
      </w:r>
      <w:proofErr w:type="spellStart"/>
      <w:r>
        <w:t>consiliilor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cel </w:t>
      </w:r>
      <w:proofErr w:type="gramStart"/>
      <w:r>
        <w:t>record</w:t>
      </w:r>
      <w:proofErr w:type="gramEnd"/>
      <w:r>
        <w:t xml:space="preserve"> al </w:t>
      </w:r>
      <w:proofErr w:type="spellStart"/>
      <w:r>
        <w:t>județului</w:t>
      </w:r>
      <w:proofErr w:type="spellEnd"/>
      <w:r>
        <w:t xml:space="preserve"> Dolj, pot </w:t>
      </w:r>
      <w:proofErr w:type="spellStart"/>
      <w:r>
        <w:t>susține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dinamică</w:t>
      </w:r>
      <w:proofErr w:type="spellEnd"/>
      <w:r>
        <w:t xml:space="preserve">.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balneară</w:t>
      </w:r>
      <w:proofErr w:type="spellEnd"/>
      <w:r>
        <w:t xml:space="preserve"> </w:t>
      </w:r>
      <w:proofErr w:type="spellStart"/>
      <w:r>
        <w:t>vâlceană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montane </w:t>
      </w:r>
      <w:proofErr w:type="spellStart"/>
      <w:r>
        <w:t>oferă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ocupare</w:t>
      </w:r>
      <w:proofErr w:type="spellEnd"/>
      <w:r>
        <w:t xml:space="preserve"> </w:t>
      </w:r>
      <w:proofErr w:type="spellStart"/>
      <w:r>
        <w:t>sezonieră</w:t>
      </w:r>
      <w:proofErr w:type="spellEnd"/>
      <w:r>
        <w:t>.</w:t>
      </w:r>
    </w:p>
    <w:p w14:paraId="2280AEC7" w14:textId="77777777" w:rsidR="00B57A6D" w:rsidRDefault="00000000">
      <w:pPr>
        <w:spacing w:after="160" w:line="360" w:lineRule="auto"/>
        <w:jc w:val="both"/>
      </w:pPr>
      <w:r>
        <w:t xml:space="preserve">Pe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nefavorabilă</w:t>
      </w:r>
      <w:proofErr w:type="spellEnd"/>
      <w:r>
        <w:t xml:space="preserve">, </w:t>
      </w:r>
      <w:proofErr w:type="spellStart"/>
      <w:r>
        <w:t>restructurarea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energetic din Gorj </w:t>
      </w:r>
      <w:proofErr w:type="spellStart"/>
      <w:r>
        <w:t>va</w:t>
      </w:r>
      <w:proofErr w:type="spellEnd"/>
      <w:r>
        <w:t xml:space="preserve"> continua,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etapă</w:t>
      </w:r>
      <w:proofErr w:type="spellEnd"/>
      <w:r>
        <w:t xml:space="preserve"> a </w:t>
      </w:r>
      <w:proofErr w:type="spellStart"/>
      <w:r>
        <w:t>închiderii</w:t>
      </w:r>
      <w:proofErr w:type="spellEnd"/>
      <w:r>
        <w:t xml:space="preserve"> </w:t>
      </w:r>
      <w:proofErr w:type="spellStart"/>
      <w:r>
        <w:t>minelor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apariției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alternative </w:t>
      </w:r>
      <w:proofErr w:type="spellStart"/>
      <w:r>
        <w:t>finanțate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tranziția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. Reforma </w:t>
      </w:r>
      <w:proofErr w:type="spellStart"/>
      <w:r>
        <w:t>administrației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care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 de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aparatul</w:t>
      </w:r>
      <w:proofErr w:type="spellEnd"/>
      <w:r>
        <w:t xml:space="preserve"> de stat,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județe</w:t>
      </w:r>
      <w:proofErr w:type="spellEnd"/>
      <w:r>
        <w:t xml:space="preserve"> cu un sector public </w:t>
      </w:r>
      <w:proofErr w:type="spellStart"/>
      <w:r>
        <w:t>relativ</w:t>
      </w:r>
      <w:proofErr w:type="spellEnd"/>
      <w:r>
        <w:t xml:space="preserve"> important, precum Dolj. </w:t>
      </w:r>
      <w:proofErr w:type="spellStart"/>
      <w:r>
        <w:t>Specialiștii</w:t>
      </w:r>
      <w:proofErr w:type="spellEnd"/>
      <w:r>
        <w:t xml:space="preserve"> </w:t>
      </w:r>
      <w:proofErr w:type="spellStart"/>
      <w:r>
        <w:t>avertizează</w:t>
      </w:r>
      <w:proofErr w:type="spellEnd"/>
      <w:r>
        <w:t xml:space="preserve">, de </w:t>
      </w:r>
      <w:proofErr w:type="spellStart"/>
      <w:r>
        <w:t>altfel</w:t>
      </w:r>
      <w:proofErr w:type="spellEnd"/>
      <w:r>
        <w:t xml:space="preserve">,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fisuri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ale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care s-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adânci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2026, (Digi24, 22 </w:t>
      </w:r>
      <w:proofErr w:type="spellStart"/>
      <w:r>
        <w:t>aprilie</w:t>
      </w:r>
      <w:proofErr w:type="spellEnd"/>
      <w:r>
        <w:t xml:space="preserve"> 2026) pe </w:t>
      </w:r>
      <w:proofErr w:type="spellStart"/>
      <w:r>
        <w:t>fondul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economii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pierde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absorbi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ritmul</w:t>
      </w:r>
      <w:proofErr w:type="spellEnd"/>
      <w:r>
        <w:t xml:space="preserve"> de </w:t>
      </w:r>
      <w:proofErr w:type="spellStart"/>
      <w:r>
        <w:t>altădată</w:t>
      </w:r>
      <w:proofErr w:type="spellEnd"/>
      <w:r>
        <w:t>.</w:t>
      </w:r>
    </w:p>
    <w:p w14:paraId="3DBDBDF1" w14:textId="77777777" w:rsidR="00B57A6D" w:rsidRDefault="00000000">
      <w:pPr>
        <w:spacing w:after="160" w:line="360" w:lineRule="auto"/>
        <w:jc w:val="both"/>
      </w:pPr>
      <w:proofErr w:type="spellStart"/>
      <w:r>
        <w:t>Există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incertitudine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. O </w:t>
      </w:r>
      <w:proofErr w:type="spellStart"/>
      <w:r>
        <w:t>eventuală</w:t>
      </w:r>
      <w:proofErr w:type="spellEnd"/>
      <w:r>
        <w:t xml:space="preserve"> </w:t>
      </w:r>
      <w:proofErr w:type="spellStart"/>
      <w:r>
        <w:t>încetinire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reduce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exporturile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 ale </w:t>
      </w:r>
      <w:proofErr w:type="spellStart"/>
      <w:r>
        <w:t>regiunii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aluminiul</w:t>
      </w:r>
      <w:proofErr w:type="spellEnd"/>
      <w:r>
        <w:t xml:space="preserve"> de la Slatina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auto din Craiova.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o </w:t>
      </w:r>
      <w:proofErr w:type="spellStart"/>
      <w:r>
        <w:t>deteriorare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din </w:t>
      </w:r>
      <w:proofErr w:type="spellStart"/>
      <w:r>
        <w:t>țările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emigranții</w:t>
      </w:r>
      <w:proofErr w:type="spellEnd"/>
      <w:r>
        <w:t xml:space="preserve"> </w:t>
      </w:r>
      <w:proofErr w:type="spellStart"/>
      <w:r>
        <w:t>olteni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genera un flux de </w:t>
      </w:r>
      <w:proofErr w:type="spellStart"/>
      <w:r>
        <w:t>repatriere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presiunea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</w:t>
      </w:r>
      <w:proofErr w:type="spellStart"/>
      <w:r>
        <w:t>deja</w:t>
      </w:r>
      <w:proofErr w:type="spellEnd"/>
      <w:r>
        <w:t xml:space="preserve"> </w:t>
      </w:r>
      <w:proofErr w:type="spellStart"/>
      <w:r>
        <w:t>incapabilă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absoarbă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. </w:t>
      </w:r>
      <w:proofErr w:type="spellStart"/>
      <w:r>
        <w:t>Declinul</w:t>
      </w:r>
      <w:proofErr w:type="spellEnd"/>
      <w:r>
        <w:t xml:space="preserve"> </w:t>
      </w:r>
      <w:proofErr w:type="spellStart"/>
      <w:r>
        <w:t>demografic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reducă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de </w:t>
      </w:r>
      <w:proofErr w:type="spellStart"/>
      <w:r>
        <w:t>forță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rezolva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prezentă</w:t>
      </w:r>
      <w:proofErr w:type="spellEnd"/>
      <w:r>
        <w:t xml:space="preserve"> a </w:t>
      </w:r>
      <w:proofErr w:type="spellStart"/>
      <w:r>
        <w:t>nepotrivirii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cerere</w:t>
      </w:r>
      <w:proofErr w:type="spellEnd"/>
      <w:r>
        <w:t>.</w:t>
      </w:r>
    </w:p>
    <w:p w14:paraId="332CA27D" w14:textId="77777777" w:rsidR="00B57A6D" w:rsidRDefault="00000000">
      <w:pPr>
        <w:spacing w:after="160" w:line="360" w:lineRule="auto"/>
        <w:jc w:val="both"/>
      </w:pPr>
      <w:r>
        <w:t xml:space="preserve">Un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vizibil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, </w:t>
      </w:r>
      <w:proofErr w:type="spellStart"/>
      <w:r>
        <w:t>ține</w:t>
      </w:r>
      <w:proofErr w:type="spellEnd"/>
      <w:r>
        <w:t xml:space="preserve"> de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veniturile</w:t>
      </w:r>
      <w:proofErr w:type="spellEnd"/>
      <w:r>
        <w:t xml:space="preserve"> din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din 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.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necalificată</w:t>
      </w:r>
      <w:proofErr w:type="spellEnd"/>
      <w:r>
        <w:t xml:space="preserve"> se </w:t>
      </w:r>
      <w:proofErr w:type="spellStart"/>
      <w:r>
        <w:t>apropie</w:t>
      </w:r>
      <w:proofErr w:type="spellEnd"/>
      <w:r>
        <w:t xml:space="preserve"> de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cumulat</w:t>
      </w:r>
      <w:proofErr w:type="spellEnd"/>
      <w:r>
        <w:t xml:space="preserve"> al </w:t>
      </w:r>
      <w:proofErr w:type="spellStart"/>
      <w:r>
        <w:t>ajutoarelor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stimulentul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accepta</w:t>
      </w:r>
      <w:proofErr w:type="spellEnd"/>
      <w:r>
        <w:t xml:space="preserve"> un loc de </w:t>
      </w:r>
      <w:proofErr w:type="spellStart"/>
      <w:r>
        <w:t>muncă</w:t>
      </w:r>
      <w:proofErr w:type="spellEnd"/>
      <w:r>
        <w:t xml:space="preserve"> formal </w:t>
      </w:r>
      <w:proofErr w:type="spellStart"/>
      <w:r>
        <w:t>slăbește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acel</w:t>
      </w:r>
      <w:proofErr w:type="spellEnd"/>
      <w:r>
        <w:t xml:space="preserve"> loc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navetă</w:t>
      </w:r>
      <w:proofErr w:type="spellEnd"/>
      <w:r>
        <w:t xml:space="preserve"> </w:t>
      </w:r>
      <w:proofErr w:type="spellStart"/>
      <w:r>
        <w:t>costisitoare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renunțarea</w:t>
      </w:r>
      <w:proofErr w:type="spellEnd"/>
      <w:r>
        <w:t xml:space="preserve"> la </w:t>
      </w:r>
      <w:proofErr w:type="spellStart"/>
      <w:r>
        <w:t>beneficii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fenomen</w:t>
      </w:r>
      <w:proofErr w:type="spellEnd"/>
      <w:r>
        <w:t xml:space="preserve">, </w:t>
      </w:r>
      <w:proofErr w:type="spellStart"/>
      <w:r>
        <w:t>vizibil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județele</w:t>
      </w:r>
      <w:proofErr w:type="spellEnd"/>
      <w:r>
        <w:t xml:space="preserve"> cu </w:t>
      </w:r>
      <w:proofErr w:type="spellStart"/>
      <w:r>
        <w:t>pondere</w:t>
      </w:r>
      <w:proofErr w:type="spellEnd"/>
      <w:r>
        <w:t xml:space="preserve"> mare a </w:t>
      </w:r>
      <w:proofErr w:type="spellStart"/>
      <w:r>
        <w:t>populației</w:t>
      </w:r>
      <w:proofErr w:type="spellEnd"/>
      <w:r>
        <w:t xml:space="preserve"> </w:t>
      </w:r>
      <w:proofErr w:type="spellStart"/>
      <w:r>
        <w:t>asistate</w:t>
      </w:r>
      <w:proofErr w:type="spellEnd"/>
      <w:r>
        <w:t xml:space="preserve"> social, precum Dolj, </w:t>
      </w:r>
      <w:proofErr w:type="spellStart"/>
      <w:r>
        <w:t>întreține</w:t>
      </w:r>
      <w:proofErr w:type="spellEnd"/>
      <w:r>
        <w:t xml:space="preserve"> o </w:t>
      </w:r>
      <w:proofErr w:type="spellStart"/>
      <w:r>
        <w:t>capcană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inactivității</w:t>
      </w:r>
      <w:proofErr w:type="spellEnd"/>
      <w:r>
        <w:t xml:space="preserve"> din care </w:t>
      </w:r>
      <w:proofErr w:type="spellStart"/>
      <w:r>
        <w:t>ieșirea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dificilă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o </w:t>
      </w:r>
      <w:proofErr w:type="spellStart"/>
      <w:r>
        <w:t>coordonare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salarială</w:t>
      </w:r>
      <w:proofErr w:type="spellEnd"/>
      <w:r>
        <w:t xml:space="preserve">, </w:t>
      </w:r>
      <w:proofErr w:type="spellStart"/>
      <w:r>
        <w:t>cea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. La </w:t>
      </w:r>
      <w:proofErr w:type="spellStart"/>
      <w:r>
        <w:t>acesta</w:t>
      </w:r>
      <w:proofErr w:type="spellEnd"/>
      <w:r>
        <w:t xml:space="preserve"> se </w:t>
      </w:r>
      <w:proofErr w:type="spellStart"/>
      <w:r>
        <w:t>adaugă</w:t>
      </w:r>
      <w:proofErr w:type="spellEnd"/>
      <w:r>
        <w:t xml:space="preserve"> </w:t>
      </w:r>
      <w:proofErr w:type="spellStart"/>
      <w:r>
        <w:t>economia</w:t>
      </w:r>
      <w:proofErr w:type="spellEnd"/>
      <w:r>
        <w:t xml:space="preserve"> </w:t>
      </w:r>
      <w:proofErr w:type="spellStart"/>
      <w:r>
        <w:t>informală</w:t>
      </w:r>
      <w:proofErr w:type="spellEnd"/>
      <w:r>
        <w:t xml:space="preserve">, </w:t>
      </w:r>
      <w:proofErr w:type="spellStart"/>
      <w:r>
        <w:t>dificil</w:t>
      </w:r>
      <w:proofErr w:type="spellEnd"/>
      <w:r>
        <w:t xml:space="preserve"> de </w:t>
      </w:r>
      <w:proofErr w:type="spellStart"/>
      <w:r>
        <w:t>cuantificat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: o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ca </w:t>
      </w:r>
      <w:proofErr w:type="spellStart"/>
      <w:r>
        <w:t>șomere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 inactive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neînregistrate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, </w:t>
      </w:r>
      <w:proofErr w:type="spellStart"/>
      <w:r>
        <w:lastRenderedPageBreak/>
        <w:t>construcții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face ca </w:t>
      </w:r>
      <w:proofErr w:type="spellStart"/>
      <w:r>
        <w:t>cifrele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supraestimeze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zone, </w:t>
      </w:r>
      <w:proofErr w:type="spellStart"/>
      <w:r>
        <w:t>amploarea</w:t>
      </w:r>
      <w:proofErr w:type="spellEnd"/>
      <w:r>
        <w:t xml:space="preserve"> </w:t>
      </w:r>
      <w:proofErr w:type="spellStart"/>
      <w:r>
        <w:t>reală</w:t>
      </w:r>
      <w:proofErr w:type="spellEnd"/>
      <w:r>
        <w:t xml:space="preserve"> a </w:t>
      </w:r>
      <w:proofErr w:type="spellStart"/>
      <w:r>
        <w:t>lipsei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mascheze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precaritatea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protecției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implicați</w:t>
      </w:r>
      <w:proofErr w:type="spellEnd"/>
      <w:r>
        <w:t>.</w:t>
      </w:r>
    </w:p>
    <w:p w14:paraId="52626A61" w14:textId="3FD36FFC" w:rsidR="00B57A6D" w:rsidRDefault="00B57A6D">
      <w:pPr>
        <w:pageBreakBefore/>
        <w:spacing w:after="220"/>
      </w:pPr>
    </w:p>
    <w:p w14:paraId="2497E454" w14:textId="77777777" w:rsidR="00B57A6D" w:rsidRDefault="00000000">
      <w:pPr>
        <w:pStyle w:val="Heading1"/>
      </w:pPr>
      <w:bookmarkStart w:id="26" w:name="_Toc232697861"/>
      <w:r>
        <w:t xml:space="preserve">20. </w:t>
      </w:r>
      <w:proofErr w:type="spellStart"/>
      <w:r>
        <w:t>Concluzii</w:t>
      </w:r>
      <w:bookmarkEnd w:id="26"/>
      <w:proofErr w:type="spellEnd"/>
    </w:p>
    <w:p w14:paraId="721F433A" w14:textId="77777777" w:rsidR="00B57A6D" w:rsidRDefault="00000000">
      <w:pPr>
        <w:spacing w:after="160" w:line="360" w:lineRule="auto"/>
        <w:jc w:val="both"/>
      </w:pPr>
      <w:proofErr w:type="spellStart"/>
      <w:r>
        <w:t>Trimestrul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al </w:t>
      </w:r>
      <w:proofErr w:type="spellStart"/>
      <w:r>
        <w:t>anului</w:t>
      </w:r>
      <w:proofErr w:type="spellEnd"/>
      <w:r>
        <w:t xml:space="preserve"> 2026 a </w:t>
      </w:r>
      <w:proofErr w:type="spellStart"/>
      <w:r>
        <w:t>confirmat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date </w:t>
      </w:r>
      <w:proofErr w:type="spellStart"/>
      <w:r>
        <w:t>noi</w:t>
      </w:r>
      <w:proofErr w:type="spellEnd"/>
      <w:r>
        <w:t xml:space="preserve">, o </w:t>
      </w:r>
      <w:proofErr w:type="spellStart"/>
      <w:r>
        <w:t>realitate</w:t>
      </w:r>
      <w:proofErr w:type="spellEnd"/>
      <w:r>
        <w:t xml:space="preserve"> </w:t>
      </w:r>
      <w:proofErr w:type="spellStart"/>
      <w:r>
        <w:t>cunoscută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Sud-Vest </w:t>
      </w:r>
      <w:proofErr w:type="spellStart"/>
      <w:r>
        <w:t>Oltenia</w:t>
      </w:r>
      <w:proofErr w:type="spellEnd"/>
      <w:r>
        <w:t xml:space="preserve">: </w:t>
      </w:r>
      <w:proofErr w:type="spellStart"/>
      <w:r>
        <w:t>problemele</w:t>
      </w:r>
      <w:proofErr w:type="spellEnd"/>
      <w:r>
        <w:t xml:space="preserve"> sunt </w:t>
      </w:r>
      <w:proofErr w:type="spellStart"/>
      <w:r>
        <w:t>structurale</w:t>
      </w:r>
      <w:proofErr w:type="spellEnd"/>
      <w:r>
        <w:t xml:space="preserve">, nu </w:t>
      </w:r>
      <w:proofErr w:type="spellStart"/>
      <w:r>
        <w:t>ciclice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ameliorările</w:t>
      </w:r>
      <w:proofErr w:type="spellEnd"/>
      <w:r>
        <w:t xml:space="preserve"> </w:t>
      </w:r>
      <w:proofErr w:type="spellStart"/>
      <w:r>
        <w:t>sezoniere</w:t>
      </w:r>
      <w:proofErr w:type="spellEnd"/>
      <w:r>
        <w:t xml:space="preserve"> nu le </w:t>
      </w:r>
      <w:proofErr w:type="spellStart"/>
      <w:r>
        <w:t>ating</w:t>
      </w:r>
      <w:proofErr w:type="spellEnd"/>
      <w:r>
        <w:t xml:space="preserve"> </w:t>
      </w:r>
      <w:proofErr w:type="spellStart"/>
      <w:r>
        <w:t>fondul</w:t>
      </w:r>
      <w:proofErr w:type="spellEnd"/>
      <w:r>
        <w:t xml:space="preserve">. </w:t>
      </w:r>
      <w:proofErr w:type="spellStart"/>
      <w:r>
        <w:t>Scăderea</w:t>
      </w:r>
      <w:proofErr w:type="spellEnd"/>
      <w:r>
        <w:t xml:space="preserve"> </w:t>
      </w:r>
      <w:proofErr w:type="spellStart"/>
      <w:r>
        <w:t>ușoară</w:t>
      </w:r>
      <w:proofErr w:type="spellEnd"/>
      <w:r>
        <w:t xml:space="preserve"> a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de la 3,35% la 3,24%, s-a </w:t>
      </w:r>
      <w:proofErr w:type="spellStart"/>
      <w:r>
        <w:t>transmis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regiune</w:t>
      </w:r>
      <w:proofErr w:type="spellEnd"/>
      <w:r>
        <w:t xml:space="preserve"> </w:t>
      </w:r>
      <w:proofErr w:type="spellStart"/>
      <w:r>
        <w:t>inegal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economii</w:t>
      </w:r>
      <w:proofErr w:type="spellEnd"/>
      <w:r>
        <w:t xml:space="preserve"> locale de </w:t>
      </w:r>
      <w:proofErr w:type="gramStart"/>
      <w:r>
        <w:t>a</w:t>
      </w:r>
      <w:proofErr w:type="gramEnd"/>
      <w:r>
        <w:t xml:space="preserve"> </w:t>
      </w:r>
      <w:proofErr w:type="spellStart"/>
      <w:r>
        <w:t>absorbi</w:t>
      </w:r>
      <w:proofErr w:type="spellEnd"/>
      <w:r>
        <w:t xml:space="preserve"> </w:t>
      </w:r>
      <w:proofErr w:type="spellStart"/>
      <w:r>
        <w:t>forța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>.</w:t>
      </w:r>
    </w:p>
    <w:p w14:paraId="34630AAC" w14:textId="77777777" w:rsidR="00B57A6D" w:rsidRDefault="00000000">
      <w:pPr>
        <w:spacing w:after="160" w:line="360" w:lineRule="auto"/>
        <w:jc w:val="both"/>
      </w:pPr>
      <w:proofErr w:type="spellStart"/>
      <w:r>
        <w:t>Vâlcea</w:t>
      </w:r>
      <w:proofErr w:type="spellEnd"/>
      <w:r>
        <w:t xml:space="preserve"> a </w:t>
      </w:r>
      <w:proofErr w:type="spellStart"/>
      <w:r>
        <w:t>coborât</w:t>
      </w:r>
      <w:proofErr w:type="spellEnd"/>
      <w:r>
        <w:t xml:space="preserve"> sub media </w:t>
      </w:r>
      <w:proofErr w:type="spellStart"/>
      <w:r>
        <w:t>națională</w:t>
      </w:r>
      <w:proofErr w:type="spellEnd"/>
      <w:r>
        <w:t xml:space="preserve">, </w:t>
      </w:r>
      <w:proofErr w:type="spellStart"/>
      <w:r>
        <w:t>dovedind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o </w:t>
      </w:r>
      <w:proofErr w:type="spellStart"/>
      <w:r>
        <w:t>dată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face </w:t>
      </w:r>
      <w:proofErr w:type="spellStart"/>
      <w:r>
        <w:t>diferența</w:t>
      </w:r>
      <w:proofErr w:type="spellEnd"/>
      <w:r>
        <w:t>. Olt s-</w:t>
      </w:r>
      <w:proofErr w:type="gramStart"/>
      <w:r>
        <w:t>a</w:t>
      </w:r>
      <w:proofErr w:type="gramEnd"/>
      <w:r>
        <w:t xml:space="preserve"> </w:t>
      </w:r>
      <w:proofErr w:type="spellStart"/>
      <w:r>
        <w:t>ameliorat</w:t>
      </w:r>
      <w:proofErr w:type="spellEnd"/>
      <w:r>
        <w:t xml:space="preserve"> </w:t>
      </w:r>
      <w:proofErr w:type="spellStart"/>
      <w:r>
        <w:t>ușor</w:t>
      </w:r>
      <w:proofErr w:type="spellEnd"/>
      <w:r>
        <w:t xml:space="preserve">.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Dolj au </w:t>
      </w:r>
      <w:proofErr w:type="spellStart"/>
      <w:r>
        <w:t>rămas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</w:t>
      </w:r>
      <w:proofErr w:type="spellStart"/>
      <w:r>
        <w:t>județelor</w:t>
      </w:r>
      <w:proofErr w:type="spellEnd"/>
      <w:r>
        <w:t xml:space="preserve"> cu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ridicat</w:t>
      </w:r>
      <w:proofErr w:type="spellEnd"/>
      <w:r>
        <w:t xml:space="preserve"> </w:t>
      </w:r>
      <w:proofErr w:type="spellStart"/>
      <w:r>
        <w:t>șomaj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, </w:t>
      </w:r>
      <w:proofErr w:type="spellStart"/>
      <w:r>
        <w:t>blocate</w:t>
      </w:r>
      <w:proofErr w:type="spellEnd"/>
      <w:r>
        <w:t xml:space="preserve"> de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agricolă</w:t>
      </w:r>
      <w:proofErr w:type="spellEnd"/>
      <w:r>
        <w:t xml:space="preserve">, de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dezechilibrul</w:t>
      </w:r>
      <w:proofErr w:type="spellEnd"/>
      <w:r>
        <w:t xml:space="preserve"> </w:t>
      </w:r>
      <w:proofErr w:type="spellStart"/>
      <w:r>
        <w:t>profund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urban </w:t>
      </w:r>
      <w:proofErr w:type="spellStart"/>
      <w:r>
        <w:t>și</w:t>
      </w:r>
      <w:proofErr w:type="spellEnd"/>
      <w:r>
        <w:t xml:space="preserve"> rural. Gorj a </w:t>
      </w:r>
      <w:proofErr w:type="spellStart"/>
      <w:r>
        <w:t>constituit</w:t>
      </w:r>
      <w:proofErr w:type="spellEnd"/>
      <w:r>
        <w:t xml:space="preserve">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împins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invers de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determinate din </w:t>
      </w:r>
      <w:proofErr w:type="spellStart"/>
      <w:r>
        <w:t>sectorul</w:t>
      </w:r>
      <w:proofErr w:type="spellEnd"/>
      <w:r>
        <w:t xml:space="preserve"> energetic, o </w:t>
      </w:r>
      <w:proofErr w:type="spellStart"/>
      <w:r>
        <w:t>ilustrare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a </w:t>
      </w:r>
      <w:proofErr w:type="spellStart"/>
      <w:r>
        <w:t>costului</w:t>
      </w:r>
      <w:proofErr w:type="spellEnd"/>
      <w:r>
        <w:t xml:space="preserve"> social al </w:t>
      </w:r>
      <w:proofErr w:type="spellStart"/>
      <w:r>
        <w:t>tranziției</w:t>
      </w:r>
      <w:proofErr w:type="spellEnd"/>
      <w:r>
        <w:t xml:space="preserve"> de la </w:t>
      </w:r>
      <w:proofErr w:type="spellStart"/>
      <w:r>
        <w:t>cărbune</w:t>
      </w:r>
      <w:proofErr w:type="spellEnd"/>
      <w:r>
        <w:t>.</w:t>
      </w:r>
    </w:p>
    <w:p w14:paraId="569D3309" w14:textId="77777777" w:rsidR="00B57A6D" w:rsidRDefault="00000000">
      <w:pPr>
        <w:spacing w:after="160" w:line="360" w:lineRule="auto"/>
        <w:jc w:val="both"/>
      </w:pP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au </w:t>
      </w:r>
      <w:proofErr w:type="spellStart"/>
      <w:r>
        <w:t>scos</w:t>
      </w:r>
      <w:proofErr w:type="spellEnd"/>
      <w:r>
        <w:t xml:space="preserve"> la </w:t>
      </w:r>
      <w:proofErr w:type="spellStart"/>
      <w:r>
        <w:t>suprafață</w:t>
      </w:r>
      <w:proofErr w:type="spellEnd"/>
      <w:r>
        <w:t xml:space="preserve"> </w:t>
      </w:r>
      <w:proofErr w:type="spellStart"/>
      <w:r>
        <w:t>paradoxul</w:t>
      </w:r>
      <w:proofErr w:type="spellEnd"/>
      <w:r>
        <w:t xml:space="preserve"> central al </w:t>
      </w:r>
      <w:proofErr w:type="spellStart"/>
      <w:r>
        <w:t>regiunii</w:t>
      </w:r>
      <w:proofErr w:type="spellEnd"/>
      <w:r>
        <w:t xml:space="preserve">.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neocupate</w:t>
      </w:r>
      <w:proofErr w:type="spellEnd"/>
      <w:r>
        <w:t xml:space="preserve">, 190 </w:t>
      </w:r>
      <w:proofErr w:type="spellStart"/>
      <w:r>
        <w:t>în</w:t>
      </w:r>
      <w:proofErr w:type="spellEnd"/>
      <w:r>
        <w:t xml:space="preserve"> Dolj </w:t>
      </w:r>
      <w:proofErr w:type="spellStart"/>
      <w:r>
        <w:t>și</w:t>
      </w:r>
      <w:proofErr w:type="spellEnd"/>
      <w:r>
        <w:t xml:space="preserve"> 168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la </w:t>
      </w:r>
      <w:proofErr w:type="spellStart"/>
      <w:r>
        <w:t>jumătatea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iunie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meserii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mii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ocupație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mare </w:t>
      </w:r>
      <w:proofErr w:type="spellStart"/>
      <w:r>
        <w:t>parte</w:t>
      </w:r>
      <w:proofErr w:type="spellEnd"/>
      <w:r>
        <w:t xml:space="preserve"> cu </w:t>
      </w:r>
      <w:proofErr w:type="spellStart"/>
      <w:r>
        <w:t>studii</w:t>
      </w:r>
      <w:proofErr w:type="spellEnd"/>
      <w:r>
        <w:t xml:space="preserve"> cel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. </w:t>
      </w:r>
      <w:proofErr w:type="spellStart"/>
      <w:r>
        <w:t>Problema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</w:t>
      </w:r>
      <w:proofErr w:type="spellStart"/>
      <w:r>
        <w:t>absența</w:t>
      </w:r>
      <w:proofErr w:type="spellEnd"/>
      <w:r>
        <w:t xml:space="preserve"> </w:t>
      </w:r>
      <w:proofErr w:type="spellStart"/>
      <w:r>
        <w:t>pură</w:t>
      </w:r>
      <w:proofErr w:type="spellEnd"/>
      <w:r>
        <w:t xml:space="preserve"> a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ci </w:t>
      </w:r>
      <w:proofErr w:type="spellStart"/>
      <w:r>
        <w:t>nepotrivirea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caută</w:t>
      </w:r>
      <w:proofErr w:type="spellEnd"/>
      <w:r>
        <w:t xml:space="preserve"> </w:t>
      </w:r>
      <w:proofErr w:type="spellStart"/>
      <w:r>
        <w:t>angajatorii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pot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cei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loc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dublată</w:t>
      </w:r>
      <w:proofErr w:type="spellEnd"/>
      <w:r>
        <w:t xml:space="preserve"> de </w:t>
      </w:r>
      <w:proofErr w:type="spellStart"/>
      <w:r>
        <w:t>distanța</w:t>
      </w:r>
      <w:proofErr w:type="spellEnd"/>
      <w:r>
        <w:t xml:space="preserve"> </w:t>
      </w:r>
      <w:proofErr w:type="spellStart"/>
      <w:r>
        <w:t>geografică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orașele</w:t>
      </w:r>
      <w:proofErr w:type="spellEnd"/>
      <w:r>
        <w:t xml:space="preserve"> care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satele</w:t>
      </w:r>
      <w:proofErr w:type="spellEnd"/>
      <w:r>
        <w:t xml:space="preserve"> care </w:t>
      </w:r>
      <w:proofErr w:type="spellStart"/>
      <w:r>
        <w:t>concentrează</w:t>
      </w:r>
      <w:proofErr w:type="spellEnd"/>
      <w:r>
        <w:t xml:space="preserve"> </w:t>
      </w:r>
      <w:proofErr w:type="spellStart"/>
      <w:r>
        <w:t>șomerii</w:t>
      </w:r>
      <w:proofErr w:type="spellEnd"/>
      <w:r>
        <w:t>.</w:t>
      </w:r>
    </w:p>
    <w:p w14:paraId="67BBD634" w14:textId="77777777" w:rsidR="00B57A6D" w:rsidRDefault="00000000">
      <w:pPr>
        <w:spacing w:after="160" w:line="360" w:lineRule="auto"/>
        <w:jc w:val="both"/>
      </w:pPr>
      <w:proofErr w:type="spellStart"/>
      <w:r>
        <w:t>Soluțiile</w:t>
      </w:r>
      <w:proofErr w:type="spellEnd"/>
      <w:r>
        <w:t xml:space="preserve"> </w:t>
      </w:r>
      <w:proofErr w:type="spellStart"/>
      <w:r>
        <w:t>țin</w:t>
      </w:r>
      <w:proofErr w:type="spellEnd"/>
      <w:r>
        <w:t xml:space="preserve"> de 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integrată</w:t>
      </w:r>
      <w:proofErr w:type="spellEnd"/>
      <w:r>
        <w:t xml:space="preserve">. </w:t>
      </w:r>
      <w:proofErr w:type="spellStart"/>
      <w:r>
        <w:t>Cursurile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recalificare</w:t>
      </w:r>
      <w:proofErr w:type="spellEnd"/>
      <w:r>
        <w:t xml:space="preserve">, </w:t>
      </w:r>
      <w:proofErr w:type="spellStart"/>
      <w:r>
        <w:t>subvențiile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angajatori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insuficiente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însele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pornesc</w:t>
      </w:r>
      <w:proofErr w:type="spellEnd"/>
      <w:r>
        <w:t xml:space="preserve"> de la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lovesc</w:t>
      </w:r>
      <w:proofErr w:type="spellEnd"/>
      <w:r>
        <w:t xml:space="preserve"> de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fragilă</w:t>
      </w:r>
      <w:proofErr w:type="spellEnd"/>
      <w:r>
        <w:t xml:space="preserve">. </w:t>
      </w:r>
      <w:proofErr w:type="spellStart"/>
      <w:r>
        <w:t>Regiunea</w:t>
      </w:r>
      <w:proofErr w:type="spellEnd"/>
      <w:r>
        <w:t xml:space="preserve"> are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creeze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oamenii</w:t>
      </w:r>
      <w:proofErr w:type="spellEnd"/>
      <w:r>
        <w:t xml:space="preserve">, de o </w:t>
      </w:r>
      <w:proofErr w:type="spellStart"/>
      <w:r>
        <w:t>infrastructură</w:t>
      </w:r>
      <w:proofErr w:type="spellEnd"/>
      <w:r>
        <w:t xml:space="preserve"> de transport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apropie</w:t>
      </w:r>
      <w:proofErr w:type="spellEnd"/>
      <w:r>
        <w:t xml:space="preserve"> </w:t>
      </w:r>
      <w:proofErr w:type="spellStart"/>
      <w:r>
        <w:t>satele</w:t>
      </w:r>
      <w:proofErr w:type="spellEnd"/>
      <w:r>
        <w:t xml:space="preserve"> de </w:t>
      </w:r>
      <w:proofErr w:type="spellStart"/>
      <w:r>
        <w:t>orașe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un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formare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reducă</w:t>
      </w:r>
      <w:proofErr w:type="spellEnd"/>
      <w:r>
        <w:t xml:space="preserve"> </w:t>
      </w:r>
      <w:proofErr w:type="spellStart"/>
      <w:r>
        <w:t>nepotrivirea</w:t>
      </w:r>
      <w:proofErr w:type="spellEnd"/>
      <w:r>
        <w:t xml:space="preserve"> de </w:t>
      </w:r>
      <w:proofErr w:type="spellStart"/>
      <w:r>
        <w:t>competențe</w:t>
      </w:r>
      <w:proofErr w:type="spellEnd"/>
      <w:r>
        <w:t xml:space="preserve">.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progrese</w:t>
      </w:r>
      <w:proofErr w:type="spellEnd"/>
      <w:r>
        <w:t xml:space="preserve"> pe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fronturi</w:t>
      </w:r>
      <w:proofErr w:type="spellEnd"/>
      <w:r>
        <w:t xml:space="preserve">, </w:t>
      </w:r>
      <w:proofErr w:type="spellStart"/>
      <w:r>
        <w:t>disparitățile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Oltenia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regiunile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dezvoltate</w:t>
      </w:r>
      <w:proofErr w:type="spellEnd"/>
      <w:r>
        <w:t xml:space="preserve"> </w:t>
      </w:r>
      <w:proofErr w:type="spellStart"/>
      <w:r>
        <w:t>riscă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adâncească</w:t>
      </w:r>
      <w:proofErr w:type="spellEnd"/>
      <w:r>
        <w:t>.</w:t>
      </w:r>
    </w:p>
    <w:p w14:paraId="2C158559" w14:textId="77777777" w:rsidR="00B57A6D" w:rsidRDefault="00000000">
      <w:pPr>
        <w:spacing w:after="160" w:line="360" w:lineRule="auto"/>
        <w:jc w:val="both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cifrele</w:t>
      </w:r>
      <w:proofErr w:type="spellEnd"/>
      <w:r>
        <w:t xml:space="preserve"> </w:t>
      </w:r>
      <w:proofErr w:type="spellStart"/>
      <w:r>
        <w:t>trimestrului</w:t>
      </w:r>
      <w:proofErr w:type="spellEnd"/>
      <w:r>
        <w:t xml:space="preserve">, se </w:t>
      </w:r>
      <w:proofErr w:type="spellStart"/>
      <w:r>
        <w:t>conturează</w:t>
      </w:r>
      <w:proofErr w:type="spellEnd"/>
      <w:r>
        <w:t xml:space="preserve"> o </w:t>
      </w:r>
      <w:proofErr w:type="spellStart"/>
      <w:r>
        <w:t>concluzie</w:t>
      </w:r>
      <w:proofErr w:type="spellEnd"/>
      <w:r>
        <w:t xml:space="preserve"> de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general.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Sud-Vest </w:t>
      </w:r>
      <w:proofErr w:type="spellStart"/>
      <w:r>
        <w:t>Oltenia</w:t>
      </w:r>
      <w:proofErr w:type="spellEnd"/>
      <w:r>
        <w:t xml:space="preserve"> nu </w:t>
      </w:r>
      <w:proofErr w:type="spellStart"/>
      <w:r>
        <w:t>suferă</w:t>
      </w:r>
      <w:proofErr w:type="spellEnd"/>
      <w:r>
        <w:t xml:space="preserve"> de o </w:t>
      </w:r>
      <w:proofErr w:type="spellStart"/>
      <w:r>
        <w:t>singură</w:t>
      </w:r>
      <w:proofErr w:type="spellEnd"/>
      <w:r>
        <w:t xml:space="preserve"> </w:t>
      </w:r>
      <w:proofErr w:type="spellStart"/>
      <w:r>
        <w:t>boală</w:t>
      </w:r>
      <w:proofErr w:type="spellEnd"/>
      <w:r>
        <w:t xml:space="preserve">, ci de o </w:t>
      </w:r>
      <w:proofErr w:type="spellStart"/>
      <w:r>
        <w:t>combinație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 care se </w:t>
      </w:r>
      <w:proofErr w:type="spellStart"/>
      <w:r>
        <w:t>întrețin</w:t>
      </w:r>
      <w:proofErr w:type="spellEnd"/>
      <w:r>
        <w:t xml:space="preserve"> </w:t>
      </w:r>
      <w:proofErr w:type="spellStart"/>
      <w:r>
        <w:t>reciproc</w:t>
      </w:r>
      <w:proofErr w:type="spellEnd"/>
      <w:r>
        <w:t xml:space="preserve">: o </w:t>
      </w:r>
      <w:proofErr w:type="spellStart"/>
      <w:r>
        <w:t>economie</w:t>
      </w:r>
      <w:proofErr w:type="spellEnd"/>
      <w:r>
        <w:t xml:space="preserve"> </w:t>
      </w:r>
      <w:proofErr w:type="spellStart"/>
      <w:r>
        <w:t>dependentă</w:t>
      </w:r>
      <w:proofErr w:type="spellEnd"/>
      <w:r>
        <w:t xml:space="preserve"> de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sectoare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, un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al </w:t>
      </w:r>
      <w:proofErr w:type="spellStart"/>
      <w:r>
        <w:lastRenderedPageBreak/>
        <w:t>forței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, un </w:t>
      </w:r>
      <w:proofErr w:type="spellStart"/>
      <w:r>
        <w:t>dezechilibru</w:t>
      </w:r>
      <w:proofErr w:type="spellEnd"/>
      <w:r>
        <w:t xml:space="preserve"> </w:t>
      </w:r>
      <w:proofErr w:type="spellStart"/>
      <w:r>
        <w:t>profund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oraș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sat, o </w:t>
      </w:r>
      <w:proofErr w:type="spellStart"/>
      <w:r>
        <w:t>populație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îmbătrânire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migrație</w:t>
      </w:r>
      <w:proofErr w:type="spellEnd"/>
      <w:r>
        <w:t xml:space="preserve"> care </w:t>
      </w:r>
      <w:proofErr w:type="spellStart"/>
      <w:r>
        <w:t>drenează</w:t>
      </w:r>
      <w:proofErr w:type="spellEnd"/>
      <w:r>
        <w:t xml:space="preserve"> </w:t>
      </w:r>
      <w:proofErr w:type="spellStart"/>
      <w:r>
        <w:t>tocmai</w:t>
      </w:r>
      <w:proofErr w:type="spellEnd"/>
      <w:r>
        <w:t xml:space="preserve"> </w:t>
      </w:r>
      <w:proofErr w:type="spellStart"/>
      <w:r>
        <w:t>resursa</w:t>
      </w:r>
      <w:proofErr w:type="spellEnd"/>
      <w:r>
        <w:t xml:space="preserve"> </w:t>
      </w:r>
      <w:proofErr w:type="spellStart"/>
      <w:r>
        <w:t>umană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valoroasă</w:t>
      </w:r>
      <w:proofErr w:type="spellEnd"/>
      <w:r>
        <w:t xml:space="preserve">. </w:t>
      </w:r>
      <w:proofErr w:type="spellStart"/>
      <w:r>
        <w:t>Niciunul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fire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separat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ca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reziste</w:t>
      </w:r>
      <w:proofErr w:type="spellEnd"/>
      <w:r>
        <w:t xml:space="preserve">. De </w:t>
      </w:r>
      <w:proofErr w:type="spellStart"/>
      <w:r>
        <w:t>aceea</w:t>
      </w:r>
      <w:proofErr w:type="spellEnd"/>
      <w:r>
        <w:t xml:space="preserve">,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izolate</w:t>
      </w:r>
      <w:proofErr w:type="spellEnd"/>
      <w:r>
        <w:t xml:space="preserve">, fie </w:t>
      </w:r>
      <w:proofErr w:type="spellStart"/>
      <w:r>
        <w:t>ele</w:t>
      </w:r>
      <w:proofErr w:type="spellEnd"/>
      <w:r>
        <w:t xml:space="preserve"> </w:t>
      </w:r>
      <w:proofErr w:type="spellStart"/>
      <w:r>
        <w:t>cursuri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, </w:t>
      </w:r>
      <w:proofErr w:type="spellStart"/>
      <w:r>
        <w:t>subvenții</w:t>
      </w:r>
      <w:proofErr w:type="spellEnd"/>
      <w:r>
        <w:t xml:space="preserve"> </w:t>
      </w:r>
      <w:proofErr w:type="spellStart"/>
      <w:r>
        <w:t>punctuale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campanii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produc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. </w:t>
      </w:r>
      <w:proofErr w:type="spellStart"/>
      <w:r>
        <w:t>Singura</w:t>
      </w:r>
      <w:proofErr w:type="spellEnd"/>
      <w:r>
        <w:t xml:space="preserve"> </w:t>
      </w:r>
      <w:proofErr w:type="spellStart"/>
      <w:r>
        <w:t>abordare</w:t>
      </w:r>
      <w:proofErr w:type="spellEnd"/>
      <w:r>
        <w:t xml:space="preserve"> cu </w:t>
      </w:r>
      <w:proofErr w:type="spellStart"/>
      <w:r>
        <w:t>șanse</w:t>
      </w:r>
      <w:proofErr w:type="spellEnd"/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integrată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lege</w:t>
      </w:r>
      <w:proofErr w:type="spellEnd"/>
      <w:r>
        <w:t xml:space="preserve"> </w:t>
      </w:r>
      <w:proofErr w:type="spellStart"/>
      <w:r>
        <w:t>educația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angajatorilor</w:t>
      </w:r>
      <w:proofErr w:type="spellEnd"/>
      <w:r>
        <w:t xml:space="preserve">,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de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trăiesc</w:t>
      </w:r>
      <w:proofErr w:type="spellEnd"/>
      <w:r>
        <w:t xml:space="preserve"> </w:t>
      </w:r>
      <w:proofErr w:type="spellStart"/>
      <w:r>
        <w:t>oamenii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de transport,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>.</w:t>
      </w:r>
    </w:p>
    <w:p w14:paraId="50A975DB" w14:textId="77777777" w:rsidR="00B57A6D" w:rsidRDefault="00000000">
      <w:pPr>
        <w:spacing w:after="160" w:line="360" w:lineRule="auto"/>
        <w:jc w:val="both"/>
      </w:pPr>
      <w:proofErr w:type="spellStart"/>
      <w:r>
        <w:t>În</w:t>
      </w:r>
      <w:proofErr w:type="spellEnd"/>
      <w:r>
        <w:t xml:space="preserve"> fine, </w:t>
      </w:r>
      <w:proofErr w:type="spellStart"/>
      <w:r>
        <w:t>este</w:t>
      </w:r>
      <w:proofErr w:type="spellEnd"/>
      <w:r>
        <w:t xml:space="preserve"> util de </w:t>
      </w:r>
      <w:proofErr w:type="spellStart"/>
      <w:r>
        <w:t>reamintit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cifrele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, </w:t>
      </w:r>
      <w:proofErr w:type="spellStart"/>
      <w:r>
        <w:t>oricât</w:t>
      </w:r>
      <w:proofErr w:type="spellEnd"/>
      <w:r>
        <w:t xml:space="preserve"> de utile, au </w:t>
      </w:r>
      <w:proofErr w:type="spellStart"/>
      <w:r>
        <w:t>limitele</w:t>
      </w:r>
      <w:proofErr w:type="spellEnd"/>
      <w:r>
        <w:t xml:space="preserve"> lor. Ele nu </w:t>
      </w:r>
      <w:proofErr w:type="spellStart"/>
      <w:r>
        <w:t>includ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descurajate</w:t>
      </w:r>
      <w:proofErr w:type="spellEnd"/>
      <w:r>
        <w:t xml:space="preserve"> care nu se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înregistrează</w:t>
      </w:r>
      <w:proofErr w:type="spellEnd"/>
      <w:r>
        <w:t xml:space="preserve">, nu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informală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măsoară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. Realitatea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Oltenia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probabilitățile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complexă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o pot </w:t>
      </w:r>
      <w:proofErr w:type="spellStart"/>
      <w:r>
        <w:t>arăta</w:t>
      </w:r>
      <w:proofErr w:type="spellEnd"/>
      <w:r>
        <w:t xml:space="preserve"> </w:t>
      </w:r>
      <w:proofErr w:type="spellStart"/>
      <w:r>
        <w:t>statisticile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citit</w:t>
      </w:r>
      <w:proofErr w:type="spellEnd"/>
      <w:r>
        <w:t xml:space="preserve"> ca o </w:t>
      </w:r>
      <w:proofErr w:type="spellStart"/>
      <w:r>
        <w:t>aproximare</w:t>
      </w:r>
      <w:proofErr w:type="spellEnd"/>
      <w:r>
        <w:t xml:space="preserve"> </w:t>
      </w:r>
      <w:proofErr w:type="spellStart"/>
      <w:r>
        <w:t>onestă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acelei</w:t>
      </w:r>
      <w:proofErr w:type="spellEnd"/>
      <w:r>
        <w:t xml:space="preserve"> </w:t>
      </w:r>
      <w:proofErr w:type="spellStart"/>
      <w:r>
        <w:t>realități</w:t>
      </w:r>
      <w:proofErr w:type="spellEnd"/>
      <w:r>
        <w:t xml:space="preserve">, nu ca o </w:t>
      </w:r>
      <w:proofErr w:type="spellStart"/>
      <w:r>
        <w:t>descriere</w:t>
      </w:r>
      <w:proofErr w:type="spellEnd"/>
      <w:r>
        <w:t xml:space="preserve"> </w:t>
      </w:r>
      <w:proofErr w:type="spellStart"/>
      <w:r>
        <w:t>completă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ei</w:t>
      </w:r>
      <w:proofErr w:type="spellEnd"/>
      <w:r>
        <w:t>.</w:t>
      </w:r>
    </w:p>
    <w:p w14:paraId="101B3A30" w14:textId="77777777" w:rsidR="00B57A6D" w:rsidRDefault="00000000">
      <w:pPr>
        <w:pStyle w:val="Heading1"/>
        <w:pageBreakBefore/>
      </w:pPr>
      <w:bookmarkStart w:id="27" w:name="_Toc232697862"/>
      <w:r>
        <w:lastRenderedPageBreak/>
        <w:t xml:space="preserve">21. Note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datelor</w:t>
      </w:r>
      <w:bookmarkEnd w:id="27"/>
      <w:proofErr w:type="spellEnd"/>
    </w:p>
    <w:p w14:paraId="7F93FEED" w14:textId="77777777" w:rsidR="00B57A6D" w:rsidRDefault="00000000">
      <w:pPr>
        <w:spacing w:after="160" w:line="360" w:lineRule="auto"/>
        <w:jc w:val="both"/>
      </w:pPr>
      <w:proofErr w:type="spellStart"/>
      <w:r>
        <w:t>Întrucât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solicitat</w:t>
      </w:r>
      <w:proofErr w:type="spellEnd"/>
      <w:r>
        <w:t xml:space="preserve"> cu </w:t>
      </w:r>
      <w:proofErr w:type="spellStart"/>
      <w:r>
        <w:t>mențiunea</w:t>
      </w:r>
      <w:proofErr w:type="spellEnd"/>
      <w:r>
        <w:t xml:space="preserve"> </w:t>
      </w:r>
      <w:proofErr w:type="spellStart"/>
      <w:r>
        <w:t>expresă</w:t>
      </w:r>
      <w:proofErr w:type="spellEnd"/>
      <w:r>
        <w:t xml:space="preserve"> a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,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 </w:t>
      </w:r>
      <w:proofErr w:type="spellStart"/>
      <w:r>
        <w:t>precizează</w:t>
      </w:r>
      <w:proofErr w:type="spellEnd"/>
      <w:r>
        <w:t xml:space="preserve"> </w:t>
      </w:r>
      <w:proofErr w:type="spellStart"/>
      <w:r>
        <w:t>gradul</w:t>
      </w:r>
      <w:proofErr w:type="spellEnd"/>
      <w:r>
        <w:t xml:space="preserve"> de </w:t>
      </w:r>
      <w:proofErr w:type="spellStart"/>
      <w:r>
        <w:t>certitudine</w:t>
      </w:r>
      <w:proofErr w:type="spellEnd"/>
      <w:r>
        <w:t xml:space="preserve"> al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2026, rata de 3,24%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totalul</w:t>
      </w:r>
      <w:proofErr w:type="spellEnd"/>
      <w:r>
        <w:t xml:space="preserve"> de 259.160 de </w:t>
      </w:r>
      <w:proofErr w:type="spellStart"/>
      <w:r>
        <w:t>șomeri</w:t>
      </w:r>
      <w:proofErr w:type="spellEnd"/>
      <w:r>
        <w:t xml:space="preserve">,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comunicatul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ANOFM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documentul</w:t>
      </w:r>
      <w:proofErr w:type="spellEnd"/>
      <w:r>
        <w:t xml:space="preserve"> PDF </w:t>
      </w:r>
      <w:proofErr w:type="spellStart"/>
      <w:r>
        <w:t>aferent</w:t>
      </w:r>
      <w:proofErr w:type="spellEnd"/>
      <w:r>
        <w:t xml:space="preserve">, </w:t>
      </w:r>
      <w:proofErr w:type="spellStart"/>
      <w:r>
        <w:t>ambele</w:t>
      </w:r>
      <w:proofErr w:type="spellEnd"/>
      <w:r>
        <w:t xml:space="preserve"> consolidate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verificabile</w:t>
      </w:r>
      <w:proofErr w:type="spellEnd"/>
      <w:r>
        <w:t xml:space="preserve"> direct pe </w:t>
      </w:r>
      <w:proofErr w:type="spellStart"/>
      <w:r>
        <w:t>pagina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. Rata BIM de 6,3%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estimarea</w:t>
      </w:r>
      <w:proofErr w:type="spellEnd"/>
      <w:r>
        <w:t xml:space="preserve"> de 512.100 de </w:t>
      </w:r>
      <w:proofErr w:type="spellStart"/>
      <w:r>
        <w:t>șomeri</w:t>
      </w:r>
      <w:proofErr w:type="spellEnd"/>
      <w:r>
        <w:t xml:space="preserve">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comunicatul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Statistică</w:t>
      </w:r>
      <w:proofErr w:type="spellEnd"/>
      <w:r>
        <w:t xml:space="preserve">, </w:t>
      </w:r>
      <w:proofErr w:type="spellStart"/>
      <w:r>
        <w:t>preluat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publicații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>.</w:t>
      </w:r>
    </w:p>
    <w:p w14:paraId="6BA7D2D7" w14:textId="77777777" w:rsidR="00B57A6D" w:rsidRDefault="00000000">
      <w:pPr>
        <w:spacing w:after="160" w:line="360" w:lineRule="auto"/>
        <w:jc w:val="both"/>
      </w:pPr>
      <w:r>
        <w:t xml:space="preserve">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,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Olt, 6,01%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, 3,01%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2,82%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ale </w:t>
      </w:r>
      <w:proofErr w:type="spellStart"/>
      <w:r>
        <w:t>agențiilor</w:t>
      </w:r>
      <w:proofErr w:type="spellEnd"/>
      <w:r>
        <w:t xml:space="preserve"> </w:t>
      </w:r>
      <w:proofErr w:type="spellStart"/>
      <w:r>
        <w:t>județene</w:t>
      </w:r>
      <w:proofErr w:type="spellEnd"/>
      <w:r>
        <w:t xml:space="preserve">,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descărcabile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, 8,78%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8,61%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detaliată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locurilor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provin</w:t>
      </w:r>
      <w:proofErr w:type="spellEnd"/>
      <w:r>
        <w:t xml:space="preserve"> din </w:t>
      </w:r>
      <w:proofErr w:type="spellStart"/>
      <w:r>
        <w:t>comunicările</w:t>
      </w:r>
      <w:proofErr w:type="spellEnd"/>
      <w:r>
        <w:t xml:space="preserve"> AJOFM </w:t>
      </w:r>
      <w:proofErr w:type="spellStart"/>
      <w:r>
        <w:t>Mehedinți</w:t>
      </w:r>
      <w:proofErr w:type="spellEnd"/>
      <w:r>
        <w:t xml:space="preserve"> </w:t>
      </w:r>
      <w:proofErr w:type="spellStart"/>
      <w:r>
        <w:t>preluate</w:t>
      </w:r>
      <w:proofErr w:type="spellEnd"/>
      <w:r>
        <w:t xml:space="preserve"> de presa </w:t>
      </w:r>
      <w:proofErr w:type="spellStart"/>
      <w:r>
        <w:t>regională</w:t>
      </w:r>
      <w:proofErr w:type="spellEnd"/>
      <w:r>
        <w:t xml:space="preserve">; </w:t>
      </w:r>
      <w:proofErr w:type="spellStart"/>
      <w:r>
        <w:t>ele</w:t>
      </w:r>
      <w:proofErr w:type="spellEnd"/>
      <w:r>
        <w:t xml:space="preserve"> sunt </w:t>
      </w:r>
      <w:proofErr w:type="spellStart"/>
      <w:r>
        <w:t>coerente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de </w:t>
      </w:r>
      <w:proofErr w:type="spellStart"/>
      <w:r>
        <w:t>mărime</w:t>
      </w:r>
      <w:proofErr w:type="spellEnd"/>
      <w:r>
        <w:t xml:space="preserve"> din </w:t>
      </w:r>
      <w:proofErr w:type="spellStart"/>
      <w:r>
        <w:t>raportările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cifra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confirmată</w:t>
      </w:r>
      <w:proofErr w:type="spellEnd"/>
      <w:r>
        <w:t xml:space="preserve"> la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.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de 190 de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din Dolj </w:t>
      </w:r>
      <w:proofErr w:type="spellStart"/>
      <w:r>
        <w:t>provin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comunicare</w:t>
      </w:r>
      <w:proofErr w:type="spellEnd"/>
      <w:r>
        <w:t xml:space="preserve"> AJOFM Dolj din </w:t>
      </w:r>
      <w:proofErr w:type="spellStart"/>
      <w:r>
        <w:t>iunie</w:t>
      </w:r>
      <w:proofErr w:type="spellEnd"/>
      <w:r>
        <w:t xml:space="preserve">. </w:t>
      </w:r>
      <w:proofErr w:type="spellStart"/>
      <w:r>
        <w:t>Valorile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Gorj,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jurul</w:t>
      </w:r>
      <w:proofErr w:type="spellEnd"/>
      <w:r>
        <w:t xml:space="preserve"> a 5%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provin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relatare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pe </w:t>
      </w:r>
      <w:proofErr w:type="spellStart"/>
      <w:r>
        <w:t>declarații</w:t>
      </w:r>
      <w:proofErr w:type="spellEnd"/>
      <w:r>
        <w:t xml:space="preserve"> ale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instituționali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; </w:t>
      </w:r>
      <w:proofErr w:type="spellStart"/>
      <w:r>
        <w:t>ele</w:t>
      </w:r>
      <w:proofErr w:type="spellEnd"/>
      <w:r>
        <w:t xml:space="preserve"> au,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urmare</w:t>
      </w:r>
      <w:proofErr w:type="spellEnd"/>
      <w:r>
        <w:t xml:space="preserve">, un grad de </w:t>
      </w:r>
      <w:proofErr w:type="spellStart"/>
      <w:r>
        <w:t>certitudine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tratate</w:t>
      </w:r>
      <w:proofErr w:type="spellEnd"/>
      <w:r>
        <w:t xml:space="preserve"> ca </w:t>
      </w:r>
      <w:proofErr w:type="spellStart"/>
      <w:r>
        <w:t>estimări</w:t>
      </w:r>
      <w:proofErr w:type="spellEnd"/>
      <w:r>
        <w:t xml:space="preserve"> </w:t>
      </w:r>
      <w:proofErr w:type="spellStart"/>
      <w:r>
        <w:t>orientative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>.</w:t>
      </w:r>
    </w:p>
    <w:p w14:paraId="20506EFB" w14:textId="77777777" w:rsidR="00B57A6D" w:rsidRDefault="00000000">
      <w:pPr>
        <w:spacing w:after="160" w:line="360" w:lineRule="auto"/>
        <w:jc w:val="both"/>
      </w:pP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o </w:t>
      </w:r>
      <w:proofErr w:type="spellStart"/>
      <w:r>
        <w:t>cifră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redactării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a </w:t>
      </w:r>
      <w:proofErr w:type="spellStart"/>
      <w:r>
        <w:t>preferat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un </w:t>
      </w:r>
      <w:proofErr w:type="spellStart"/>
      <w:r>
        <w:t>ordin</w:t>
      </w:r>
      <w:proofErr w:type="spellEnd"/>
      <w:r>
        <w:t xml:space="preserve"> de </w:t>
      </w:r>
      <w:proofErr w:type="spellStart"/>
      <w:r>
        <w:t>mărime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semnaleze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loc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o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nesigură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certă</w:t>
      </w:r>
      <w:proofErr w:type="spellEnd"/>
      <w:r>
        <w:t xml:space="preserve">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adresele</w:t>
      </w:r>
      <w:proofErr w:type="spellEnd"/>
      <w:r>
        <w:t xml:space="preserve"> web ale </w:t>
      </w:r>
      <w:proofErr w:type="spellStart"/>
      <w:r>
        <w:t>surselor</w:t>
      </w:r>
      <w:proofErr w:type="spellEnd"/>
      <w:r>
        <w:t xml:space="preserve"> sunt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bibliografie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de </w:t>
      </w:r>
      <w:proofErr w:type="spellStart"/>
      <w:r>
        <w:t>subsol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independentă</w:t>
      </w:r>
      <w:proofErr w:type="spellEnd"/>
      <w:r>
        <w:t xml:space="preserve"> a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afirmații</w:t>
      </w:r>
      <w:proofErr w:type="spellEnd"/>
      <w:r>
        <w:t>.</w:t>
      </w:r>
    </w:p>
    <w:p w14:paraId="48BE43D0" w14:textId="7968D6BA" w:rsidR="00B57A6D" w:rsidRDefault="00B57A6D">
      <w:pPr>
        <w:pageBreakBefore/>
        <w:spacing w:after="220"/>
      </w:pPr>
    </w:p>
    <w:p w14:paraId="463C57FB" w14:textId="77777777" w:rsidR="00B57A6D" w:rsidRDefault="00000000">
      <w:pPr>
        <w:pStyle w:val="Heading1"/>
      </w:pPr>
      <w:bookmarkStart w:id="28" w:name="_Toc232697863"/>
      <w:r>
        <w:t xml:space="preserve">22. </w:t>
      </w:r>
      <w:proofErr w:type="spellStart"/>
      <w:r>
        <w:t>Bibliografie</w:t>
      </w:r>
      <w:bookmarkEnd w:id="28"/>
      <w:proofErr w:type="spellEnd"/>
    </w:p>
    <w:p w14:paraId="140814B9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[1] </w:t>
      </w:r>
      <w:r>
        <w:t xml:space="preserve">ANOFM, </w:t>
      </w:r>
      <w:proofErr w:type="spellStart"/>
      <w:r>
        <w:t>Comunicat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 xml:space="preserve"> – 3,24%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ANOFM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2026, 28 </w:t>
      </w:r>
      <w:proofErr w:type="spellStart"/>
      <w:r>
        <w:t>mai</w:t>
      </w:r>
      <w:proofErr w:type="spellEnd"/>
      <w:r>
        <w:t xml:space="preserve"> 2026. https://www.anofm.ro/324-rata-somajului-inregistrat-in-evidentele-anofm-in-luna-aprilie-2026/</w:t>
      </w:r>
    </w:p>
    <w:p w14:paraId="150FBD33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[2] </w:t>
      </w:r>
      <w:r>
        <w:t xml:space="preserve">ANOFM, </w:t>
      </w:r>
      <w:proofErr w:type="spellStart"/>
      <w:r>
        <w:t>Comunicat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 xml:space="preserve"> la </w:t>
      </w:r>
      <w:proofErr w:type="spellStart"/>
      <w:r>
        <w:t>aprilie</w:t>
      </w:r>
      <w:proofErr w:type="spellEnd"/>
      <w:r>
        <w:t xml:space="preserve"> 2026 (document PDF). https://www.anofm.ro/wp-content/uploads/2026/05/Comunicat-rata-somajului-la-aprilie-2026.pdf</w:t>
      </w:r>
    </w:p>
    <w:p w14:paraId="17DA05A7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[3] </w:t>
      </w:r>
      <w:r>
        <w:t xml:space="preserve">ANOFM, </w:t>
      </w:r>
      <w:proofErr w:type="spellStart"/>
      <w:r>
        <w:t>secțiunea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</w:t>
      </w:r>
      <w:proofErr w:type="spellStart"/>
      <w:r>
        <w:t>șomaj</w:t>
      </w:r>
      <w:proofErr w:type="spellEnd"/>
      <w:r>
        <w:t xml:space="preserve"> –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la 30 </w:t>
      </w:r>
      <w:proofErr w:type="spellStart"/>
      <w:r>
        <w:t>aprilie</w:t>
      </w:r>
      <w:proofErr w:type="spellEnd"/>
      <w:r>
        <w:t xml:space="preserve"> 2026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lunile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>. https://www.anofm.ro/categorie/statistica-somaj/</w:t>
      </w:r>
    </w:p>
    <w:p w14:paraId="22178D05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[4] </w:t>
      </w:r>
      <w:r>
        <w:t xml:space="preserve">ANOFM,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statistică</w:t>
      </w:r>
      <w:proofErr w:type="spellEnd"/>
      <w:r>
        <w:t xml:space="preserve"> 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la 31 </w:t>
      </w:r>
      <w:proofErr w:type="spellStart"/>
      <w:r>
        <w:t>ianuarie</w:t>
      </w:r>
      <w:proofErr w:type="spellEnd"/>
      <w:r>
        <w:t xml:space="preserve"> 2026 (date </w:t>
      </w:r>
      <w:proofErr w:type="spellStart"/>
      <w:r>
        <w:t>județene</w:t>
      </w:r>
      <w:proofErr w:type="spellEnd"/>
      <w:r>
        <w:t>). https://www.anofm.ro/wp-content/uploads/2026/02/Situatia-somajului-inregistrat-IANUARIE-2026-S.pdf</w:t>
      </w:r>
    </w:p>
    <w:p w14:paraId="7C89B8E0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[5] </w:t>
      </w:r>
      <w:r>
        <w:t xml:space="preserve">ANOFM,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– </w:t>
      </w:r>
      <w:proofErr w:type="spellStart"/>
      <w:r>
        <w:t>baza</w:t>
      </w:r>
      <w:proofErr w:type="spellEnd"/>
      <w:r>
        <w:t xml:space="preserve"> de date </w:t>
      </w:r>
      <w:proofErr w:type="spellStart"/>
      <w:r>
        <w:t>națională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județeană</w:t>
      </w:r>
      <w:proofErr w:type="spellEnd"/>
      <w:r>
        <w:t xml:space="preserve">,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real. https://www.anofm.ro/locuri-de-munca-vacante/</w:t>
      </w:r>
    </w:p>
    <w:p w14:paraId="4A867531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[6] </w:t>
      </w:r>
      <w:r>
        <w:t xml:space="preserve">AJOFM Olt, 6,01% –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AJOFM Olt </w:t>
      </w:r>
      <w:proofErr w:type="spellStart"/>
      <w:r>
        <w:t>în</w:t>
      </w:r>
      <w:proofErr w:type="spellEnd"/>
      <w:r>
        <w:t xml:space="preserve"> luna </w:t>
      </w:r>
      <w:proofErr w:type="spellStart"/>
      <w:r>
        <w:t>aprilie</w:t>
      </w:r>
      <w:proofErr w:type="spellEnd"/>
      <w:r>
        <w:t xml:space="preserve"> 2026, </w:t>
      </w:r>
      <w:proofErr w:type="spellStart"/>
      <w:r>
        <w:t>comunicat</w:t>
      </w:r>
      <w:proofErr w:type="spellEnd"/>
      <w:r>
        <w:t xml:space="preserve"> din 29 </w:t>
      </w:r>
      <w:proofErr w:type="spellStart"/>
      <w:r>
        <w:t>mai</w:t>
      </w:r>
      <w:proofErr w:type="spellEnd"/>
      <w:r>
        <w:t xml:space="preserve"> 2026. https://www.anofm.ro/olt/601-rata-somajului-inregistrat-in-evidentele-ajofm-olt-in-luna-aprilie-2026/</w:t>
      </w:r>
    </w:p>
    <w:p w14:paraId="234AB065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[7] </w:t>
      </w:r>
      <w:r>
        <w:t xml:space="preserve">AJOFM </w:t>
      </w:r>
      <w:proofErr w:type="spellStart"/>
      <w:r>
        <w:t>Vâlcea</w:t>
      </w:r>
      <w:proofErr w:type="spellEnd"/>
      <w:r>
        <w:t xml:space="preserve">, Rata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 (2,82%), </w:t>
      </w:r>
      <w:proofErr w:type="spellStart"/>
      <w:r>
        <w:t>comunicat</w:t>
      </w:r>
      <w:proofErr w:type="spellEnd"/>
      <w:r>
        <w:t xml:space="preserve"> din 25 </w:t>
      </w:r>
      <w:proofErr w:type="spellStart"/>
      <w:r>
        <w:t>mai</w:t>
      </w:r>
      <w:proofErr w:type="spellEnd"/>
      <w:r>
        <w:t xml:space="preserve"> 2026 </w:t>
      </w:r>
      <w:proofErr w:type="spellStart"/>
      <w:r>
        <w:t>și</w:t>
      </w:r>
      <w:proofErr w:type="spellEnd"/>
      <w:r>
        <w:t xml:space="preserve"> document PDF </w:t>
      </w:r>
      <w:proofErr w:type="spellStart"/>
      <w:r>
        <w:t>aferent</w:t>
      </w:r>
      <w:proofErr w:type="spellEnd"/>
      <w:r>
        <w:t>. https://www.anofm.ro/valcea/rata-somajului-aprilie-2026/</w:t>
      </w:r>
    </w:p>
    <w:p w14:paraId="035DD322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[8] </w:t>
      </w:r>
      <w:r>
        <w:t xml:space="preserve">AJOFM </w:t>
      </w:r>
      <w:proofErr w:type="spellStart"/>
      <w:r>
        <w:t>Vâlcea</w:t>
      </w:r>
      <w:proofErr w:type="spellEnd"/>
      <w:r>
        <w:t xml:space="preserve"> / Jurnalul </w:t>
      </w:r>
      <w:proofErr w:type="spellStart"/>
      <w:r>
        <w:t>Olteniei</w:t>
      </w:r>
      <w:proofErr w:type="spellEnd"/>
      <w:r>
        <w:t xml:space="preserve">, Date </w:t>
      </w:r>
      <w:proofErr w:type="spellStart"/>
      <w:r>
        <w:t>oficiale</w:t>
      </w:r>
      <w:proofErr w:type="spellEnd"/>
      <w:r>
        <w:t xml:space="preserve">: cine sunt </w:t>
      </w:r>
      <w:proofErr w:type="spellStart"/>
      <w:r>
        <w:t>șomerii</w:t>
      </w:r>
      <w:proofErr w:type="spellEnd"/>
      <w:r>
        <w:t xml:space="preserve"> din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Vâlcea</w:t>
      </w:r>
      <w:proofErr w:type="spellEnd"/>
      <w:r>
        <w:t xml:space="preserve"> (</w:t>
      </w:r>
      <w:proofErr w:type="spellStart"/>
      <w:r>
        <w:t>martie</w:t>
      </w:r>
      <w:proofErr w:type="spellEnd"/>
      <w:r>
        <w:t xml:space="preserve"> 2026 – 3,01%), 21 </w:t>
      </w:r>
      <w:proofErr w:type="spellStart"/>
      <w:r>
        <w:t>aprilie</w:t>
      </w:r>
      <w:proofErr w:type="spellEnd"/>
      <w:r>
        <w:t xml:space="preserve"> 2026. https://jurnalulolteniei.ro/2026/04/21/date-oficiale-cine-sunt-somerii-din-judetul-valcea/</w:t>
      </w:r>
    </w:p>
    <w:p w14:paraId="41797AEB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[9] </w:t>
      </w:r>
      <w:r>
        <w:t xml:space="preserve">AJOFM </w:t>
      </w:r>
      <w:proofErr w:type="spellStart"/>
      <w:r>
        <w:t>Mehedinți</w:t>
      </w:r>
      <w:proofErr w:type="spellEnd"/>
      <w:r>
        <w:t xml:space="preserve"> / Jurnalul </w:t>
      </w:r>
      <w:proofErr w:type="spellStart"/>
      <w:r>
        <w:t>Olteniei</w:t>
      </w:r>
      <w:proofErr w:type="spellEnd"/>
      <w:r>
        <w:t xml:space="preserve">, Date </w:t>
      </w:r>
      <w:proofErr w:type="spellStart"/>
      <w:r>
        <w:t>oficiale</w:t>
      </w:r>
      <w:proofErr w:type="spellEnd"/>
      <w:r>
        <w:t xml:space="preserve">: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șomajului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 (</w:t>
      </w:r>
      <w:proofErr w:type="spellStart"/>
      <w:r>
        <w:t>aprilie</w:t>
      </w:r>
      <w:proofErr w:type="spellEnd"/>
      <w:r>
        <w:t xml:space="preserve"> 2026 – 8,78%), 11 </w:t>
      </w:r>
      <w:proofErr w:type="spellStart"/>
      <w:r>
        <w:t>mai</w:t>
      </w:r>
      <w:proofErr w:type="spellEnd"/>
      <w:r>
        <w:t xml:space="preserve"> 2026. https://jurnalulolteniei.ro/2026/05/11/date-oficiale-situatia-somajului-in-mehedinti/</w:t>
      </w:r>
    </w:p>
    <w:p w14:paraId="6C6D72B8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lastRenderedPageBreak/>
        <w:t xml:space="preserve">[10] </w:t>
      </w:r>
      <w:r>
        <w:t xml:space="preserve">AJOFM </w:t>
      </w:r>
      <w:proofErr w:type="spellStart"/>
      <w:r>
        <w:t>Mehedinți</w:t>
      </w:r>
      <w:proofErr w:type="spellEnd"/>
      <w:r>
        <w:t xml:space="preserve"> / Jurnalul </w:t>
      </w:r>
      <w:proofErr w:type="spellStart"/>
      <w:r>
        <w:t>Olteniei</w:t>
      </w:r>
      <w:proofErr w:type="spellEnd"/>
      <w:r>
        <w:t xml:space="preserve">, </w:t>
      </w:r>
      <w:proofErr w:type="spellStart"/>
      <w:r>
        <w:t>Șomajul</w:t>
      </w:r>
      <w:proofErr w:type="spellEnd"/>
      <w:r>
        <w:t xml:space="preserve"> </w:t>
      </w:r>
      <w:proofErr w:type="spellStart"/>
      <w:r>
        <w:t>scade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Mehedinți</w:t>
      </w:r>
      <w:proofErr w:type="spellEnd"/>
      <w:r>
        <w:t xml:space="preserve">. Ce </w:t>
      </w:r>
      <w:proofErr w:type="spellStart"/>
      <w:r>
        <w:t>meserii</w:t>
      </w:r>
      <w:proofErr w:type="spellEnd"/>
      <w:r>
        <w:t xml:space="preserve"> sunt </w:t>
      </w:r>
      <w:proofErr w:type="spellStart"/>
      <w:r>
        <w:t>căutate</w:t>
      </w:r>
      <w:proofErr w:type="spellEnd"/>
      <w:r>
        <w:t xml:space="preserve"> (</w:t>
      </w:r>
      <w:proofErr w:type="spellStart"/>
      <w:r>
        <w:t>mai</w:t>
      </w:r>
      <w:proofErr w:type="spellEnd"/>
      <w:r>
        <w:t xml:space="preserve"> 2026 – 8,61%, 168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), 15 </w:t>
      </w:r>
      <w:proofErr w:type="spellStart"/>
      <w:r>
        <w:t>iunie</w:t>
      </w:r>
      <w:proofErr w:type="spellEnd"/>
      <w:r>
        <w:t xml:space="preserve"> 2026. https://jurnalulolteniei.ro/2026/06/15/somajul-scade-in-mehedinti-ce-meserii-sunt-cautate/</w:t>
      </w:r>
    </w:p>
    <w:p w14:paraId="3DD6E585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[11] </w:t>
      </w:r>
      <w:r>
        <w:t xml:space="preserve">AJOFM Dolj / Jurnalul </w:t>
      </w:r>
      <w:proofErr w:type="spellStart"/>
      <w:r>
        <w:t>Olteniei</w:t>
      </w:r>
      <w:proofErr w:type="spellEnd"/>
      <w:r>
        <w:t xml:space="preserve">,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Dolj: </w:t>
      </w:r>
      <w:proofErr w:type="spellStart"/>
      <w:r>
        <w:t>posturi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studiile</w:t>
      </w:r>
      <w:proofErr w:type="spellEnd"/>
      <w:r>
        <w:t xml:space="preserve"> (190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), 15 </w:t>
      </w:r>
      <w:proofErr w:type="spellStart"/>
      <w:r>
        <w:t>iunie</w:t>
      </w:r>
      <w:proofErr w:type="spellEnd"/>
      <w:r>
        <w:t xml:space="preserve"> 2026. https://jurnalulolteniei.ro/2026/06/15/locuri-de-munca-in-dolj-posturi-pentru-toate-studiile/</w:t>
      </w:r>
    </w:p>
    <w:p w14:paraId="782FEFB6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[12] </w:t>
      </w:r>
      <w:r>
        <w:t xml:space="preserve">AJOFM Dolj / </w:t>
      </w:r>
      <w:proofErr w:type="spellStart"/>
      <w:r>
        <w:t>Indiscret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Oltenia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din Dolj a </w:t>
      </w:r>
      <w:proofErr w:type="spellStart"/>
      <w:r>
        <w:t>scăzut</w:t>
      </w:r>
      <w:proofErr w:type="spellEnd"/>
      <w:r>
        <w:t xml:space="preserve"> sub </w:t>
      </w:r>
      <w:proofErr w:type="spellStart"/>
      <w:r>
        <w:t>pragul</w:t>
      </w:r>
      <w:proofErr w:type="spellEnd"/>
      <w:r>
        <w:t xml:space="preserve"> de 20.000 (august 2025), 28 </w:t>
      </w:r>
      <w:proofErr w:type="spellStart"/>
      <w:r>
        <w:t>octombrie</w:t>
      </w:r>
      <w:proofErr w:type="spellEnd"/>
      <w:r>
        <w:t xml:space="preserve"> 2025. https://www.indiscret.ro/2025/10/28/numarul-somerilor-din-dolj-a-scazut-sub-pragul-psihologic-de-20-000/</w:t>
      </w:r>
    </w:p>
    <w:p w14:paraId="620C157F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[13] </w:t>
      </w:r>
      <w:r>
        <w:t xml:space="preserve">Radio </w:t>
      </w:r>
      <w:proofErr w:type="spellStart"/>
      <w:r>
        <w:t>Infinit</w:t>
      </w:r>
      <w:proofErr w:type="spellEnd"/>
      <w:r>
        <w:t>, „</w:t>
      </w:r>
      <w:proofErr w:type="spellStart"/>
      <w:r>
        <w:t>Determinațîi</w:t>
      </w:r>
      <w:proofErr w:type="spellEnd"/>
      <w:r>
        <w:t xml:space="preserve">” </w:t>
      </w:r>
      <w:proofErr w:type="spellStart"/>
      <w:r>
        <w:t>îngroașă</w:t>
      </w:r>
      <w:proofErr w:type="spellEnd"/>
      <w:r>
        <w:t xml:space="preserve"> </w:t>
      </w:r>
      <w:proofErr w:type="spellStart"/>
      <w:r>
        <w:t>rândurile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. 400 de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închise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ultimii</w:t>
      </w:r>
      <w:proofErr w:type="spellEnd"/>
      <w:r>
        <w:t xml:space="preserve"> 3 ani (Gorj, </w:t>
      </w:r>
      <w:proofErr w:type="spellStart"/>
      <w:r>
        <w:t>aprilie</w:t>
      </w:r>
      <w:proofErr w:type="spellEnd"/>
      <w:r>
        <w:t xml:space="preserve"> 2026), 24 </w:t>
      </w:r>
      <w:proofErr w:type="spellStart"/>
      <w:r>
        <w:t>aprilie</w:t>
      </w:r>
      <w:proofErr w:type="spellEnd"/>
      <w:r>
        <w:t xml:space="preserve"> 2026. https://radioinfinit.ro/2026/04/24/determinatii-ingroasa-randurile-somerilor-400-de-firme-inchise-in-ultimii-3-ani/</w:t>
      </w:r>
    </w:p>
    <w:p w14:paraId="04A1970F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[14] </w:t>
      </w:r>
      <w:proofErr w:type="spellStart"/>
      <w:r>
        <w:t>Financiarul</w:t>
      </w:r>
      <w:proofErr w:type="spellEnd"/>
      <w:r>
        <w:t xml:space="preserve">, 6,3%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2026. </w:t>
      </w:r>
      <w:proofErr w:type="spellStart"/>
      <w:r>
        <w:t>Șomajul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media UE, </w:t>
      </w:r>
      <w:proofErr w:type="spellStart"/>
      <w:r>
        <w:t>iunie</w:t>
      </w:r>
      <w:proofErr w:type="spellEnd"/>
      <w:r>
        <w:t xml:space="preserve"> 2026. https://financiarul.ro/economie/63-in-aprilie-2026-somajul-din-romania-depaseste-media-ue-si-confirma-slabirea-pietei-muncii/</w:t>
      </w:r>
    </w:p>
    <w:p w14:paraId="462CDFD5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[15] </w:t>
      </w:r>
      <w:proofErr w:type="spellStart"/>
      <w:r>
        <w:t>Stiripesurse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șomerilor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ajuns</w:t>
      </w:r>
      <w:proofErr w:type="spellEnd"/>
      <w:r>
        <w:t xml:space="preserve"> la 512.000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 (date INS), </w:t>
      </w:r>
      <w:proofErr w:type="spellStart"/>
      <w:r>
        <w:t>iunie</w:t>
      </w:r>
      <w:proofErr w:type="spellEnd"/>
      <w:r>
        <w:t xml:space="preserve"> 2026. https://www.stiripesurse.ro/numarul-somerilor-a-ajuns-la-512000-de-persoane-in-aprilie_3890362</w:t>
      </w:r>
    </w:p>
    <w:p w14:paraId="4293CFDC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[16] </w:t>
      </w:r>
      <w:r>
        <w:t xml:space="preserve">Digi24 / </w:t>
      </w:r>
      <w:proofErr w:type="spellStart"/>
      <w:r>
        <w:t>DigiEconomic</w:t>
      </w:r>
      <w:proofErr w:type="spellEnd"/>
      <w:r>
        <w:t xml:space="preserve">, </w:t>
      </w:r>
      <w:proofErr w:type="spellStart"/>
      <w:r>
        <w:t>Șomajul</w:t>
      </w:r>
      <w:proofErr w:type="spellEnd"/>
      <w:r>
        <w:t xml:space="preserve"> a </w:t>
      </w:r>
      <w:proofErr w:type="spellStart"/>
      <w:r>
        <w:t>crescut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trecut</w:t>
      </w:r>
      <w:proofErr w:type="spellEnd"/>
      <w:r>
        <w:t xml:space="preserve">. </w:t>
      </w:r>
      <w:proofErr w:type="spellStart"/>
      <w:r>
        <w:t>Tinerii</w:t>
      </w:r>
      <w:proofErr w:type="spellEnd"/>
      <w:r>
        <w:t xml:space="preserve">, </w:t>
      </w:r>
      <w:proofErr w:type="spellStart"/>
      <w:r>
        <w:t>cei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afectați</w:t>
      </w:r>
      <w:proofErr w:type="spellEnd"/>
      <w:r>
        <w:t xml:space="preserve">, 22 </w:t>
      </w:r>
      <w:proofErr w:type="spellStart"/>
      <w:r>
        <w:t>aprilie</w:t>
      </w:r>
      <w:proofErr w:type="spellEnd"/>
      <w:r>
        <w:t xml:space="preserve"> 2026. https://www.digi24.ro/digieconomic/macro/grafice-somajul-a-crescut-anul-trecut</w:t>
      </w:r>
    </w:p>
    <w:p w14:paraId="3B9A10D3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[17] </w:t>
      </w:r>
      <w:r>
        <w:t xml:space="preserve">Ziarul Financiar,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județelor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rata </w:t>
      </w:r>
      <w:proofErr w:type="spellStart"/>
      <w:r>
        <w:t>șomajului</w:t>
      </w:r>
      <w:proofErr w:type="spellEnd"/>
      <w:r>
        <w:t>, 2026. https://www.zf.ro/eveniment/harta-judetelor-dupa-rata-somajului-romania-extremelor-somaj-doua-22942569</w:t>
      </w:r>
    </w:p>
    <w:p w14:paraId="208449B1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[18]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Regională</w:t>
      </w:r>
      <w:proofErr w:type="spellEnd"/>
      <w:r>
        <w:t xml:space="preserve"> Sud-Vest </w:t>
      </w:r>
      <w:proofErr w:type="spellStart"/>
      <w:r>
        <w:t>Oltenia</w:t>
      </w:r>
      <w:proofErr w:type="spellEnd"/>
      <w:r>
        <w:t xml:space="preserve"> – </w:t>
      </w:r>
      <w:proofErr w:type="spellStart"/>
      <w:r>
        <w:t>proiecte</w:t>
      </w:r>
      <w:proofErr w:type="spellEnd"/>
      <w:r>
        <w:t xml:space="preserve"> pe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Tranziție</w:t>
      </w:r>
      <w:proofErr w:type="spellEnd"/>
      <w:r>
        <w:t xml:space="preserve"> </w:t>
      </w:r>
      <w:proofErr w:type="spellStart"/>
      <w:r>
        <w:t>Justă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Regional Sud-Vest </w:t>
      </w:r>
      <w:proofErr w:type="spellStart"/>
      <w:r>
        <w:t>Oltenia</w:t>
      </w:r>
      <w:proofErr w:type="spellEnd"/>
      <w:r>
        <w:t xml:space="preserve"> 2021–2027. https://www.adroltenia.ro/proiecte-adr/</w:t>
      </w:r>
    </w:p>
    <w:p w14:paraId="0E0BD961" w14:textId="77777777" w:rsidR="00B57A6D" w:rsidRDefault="00000000">
      <w:pPr>
        <w:spacing w:after="120" w:line="360" w:lineRule="auto"/>
        <w:jc w:val="both"/>
      </w:pPr>
      <w:r>
        <w:rPr>
          <w:b/>
          <w:bCs/>
        </w:rPr>
        <w:t xml:space="preserve">[19] </w:t>
      </w:r>
      <w:proofErr w:type="spellStart"/>
      <w:r>
        <w:t>Agerpres</w:t>
      </w:r>
      <w:proofErr w:type="spellEnd"/>
      <w:r>
        <w:t xml:space="preserve">, Rata </w:t>
      </w:r>
      <w:proofErr w:type="spellStart"/>
      <w:r>
        <w:t>șomajului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de 3,24%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aprilie</w:t>
      </w:r>
      <w:proofErr w:type="spellEnd"/>
      <w:r>
        <w:t xml:space="preserve">, 28 </w:t>
      </w:r>
      <w:proofErr w:type="spellStart"/>
      <w:r>
        <w:t>mai</w:t>
      </w:r>
      <w:proofErr w:type="spellEnd"/>
      <w:r>
        <w:t xml:space="preserve"> 2026. https://agerpres.ro/economic/2026/05/28/rata-somajului-la-nivel-national-a-fost-de-3-24-in-aprilie--1560889</w:t>
      </w:r>
    </w:p>
    <w:sectPr w:rsidR="00B57A6D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639F16" w14:textId="77777777" w:rsidR="00CE66FE" w:rsidRDefault="00CE66FE">
      <w:r>
        <w:separator/>
      </w:r>
    </w:p>
  </w:endnote>
  <w:endnote w:type="continuationSeparator" w:id="0">
    <w:p w14:paraId="35C62FA4" w14:textId="77777777" w:rsidR="00CE66FE" w:rsidRDefault="00C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490527" w14:textId="77777777" w:rsidR="00B57A6D" w:rsidRDefault="00000000">
    <w:pPr>
      <w:jc w:val="center"/>
    </w:pPr>
    <w:proofErr w:type="spellStart"/>
    <w:r>
      <w:rPr>
        <w:color w:val="595959"/>
        <w:sz w:val="16"/>
        <w:szCs w:val="16"/>
      </w:rPr>
      <w:t>Pagina</w:t>
    </w:r>
    <w:proofErr w:type="spellEnd"/>
    <w:r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00404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din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004048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B595C7" w14:textId="77777777" w:rsidR="00CE66FE" w:rsidRDefault="00CE66FE">
      <w:r>
        <w:separator/>
      </w:r>
    </w:p>
  </w:footnote>
  <w:footnote w:type="continuationSeparator" w:id="0">
    <w:p w14:paraId="52C741DC" w14:textId="77777777" w:rsidR="00CE66FE" w:rsidRDefault="00CE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312667" w14:textId="77777777" w:rsidR="00B57A6D" w:rsidRDefault="00000000">
    <w:pPr>
      <w:pBdr>
        <w:bottom w:val="single" w:sz="4" w:space="4" w:color="1F4E79"/>
      </w:pBdr>
      <w:jc w:val="right"/>
    </w:pPr>
    <w:proofErr w:type="spellStart"/>
    <w:r>
      <w:rPr>
        <w:color w:val="595959"/>
        <w:sz w:val="16"/>
        <w:szCs w:val="16"/>
      </w:rPr>
      <w:t>Piața</w:t>
    </w:r>
    <w:proofErr w:type="spellEnd"/>
    <w:r>
      <w:rPr>
        <w:color w:val="595959"/>
        <w:sz w:val="16"/>
        <w:szCs w:val="16"/>
      </w:rPr>
      <w:t xml:space="preserve"> </w:t>
    </w:r>
    <w:proofErr w:type="spellStart"/>
    <w:r>
      <w:rPr>
        <w:color w:val="595959"/>
        <w:sz w:val="16"/>
        <w:szCs w:val="16"/>
      </w:rPr>
      <w:t>Muncii</w:t>
    </w:r>
    <w:proofErr w:type="spellEnd"/>
    <w:r>
      <w:rPr>
        <w:color w:val="595959"/>
        <w:sz w:val="16"/>
        <w:szCs w:val="16"/>
      </w:rPr>
      <w:t xml:space="preserve"> – Sud-Vest </w:t>
    </w:r>
    <w:proofErr w:type="spellStart"/>
    <w:r>
      <w:rPr>
        <w:color w:val="595959"/>
        <w:sz w:val="16"/>
        <w:szCs w:val="16"/>
      </w:rPr>
      <w:t>Oltenia</w:t>
    </w:r>
    <w:proofErr w:type="spellEnd"/>
    <w:r>
      <w:rPr>
        <w:color w:val="595959"/>
        <w:sz w:val="16"/>
        <w:szCs w:val="16"/>
      </w:rPr>
      <w:t xml:space="preserve"> – </w:t>
    </w:r>
    <w:proofErr w:type="spellStart"/>
    <w:r>
      <w:rPr>
        <w:color w:val="595959"/>
        <w:sz w:val="16"/>
        <w:szCs w:val="16"/>
      </w:rPr>
      <w:t>Trimestrul</w:t>
    </w:r>
    <w:proofErr w:type="spellEnd"/>
    <w:r>
      <w:rPr>
        <w:color w:val="595959"/>
        <w:sz w:val="16"/>
        <w:szCs w:val="16"/>
      </w:rPr>
      <w:t xml:space="preserve"> II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94E5261"/>
    <w:multiLevelType w:val="hybridMultilevel"/>
    <w:tmpl w:val="30D81BE8"/>
    <w:lvl w:ilvl="0" w:tplc="EFEAA5F4">
      <w:start w:val="1"/>
      <w:numFmt w:val="bullet"/>
      <w:lvlText w:val="●"/>
      <w:lvlJc w:val="left"/>
      <w:pPr>
        <w:ind w:left="720" w:hanging="360"/>
      </w:pPr>
    </w:lvl>
    <w:lvl w:ilvl="1" w:tplc="331AE754">
      <w:start w:val="1"/>
      <w:numFmt w:val="bullet"/>
      <w:lvlText w:val="○"/>
      <w:lvlJc w:val="left"/>
      <w:pPr>
        <w:ind w:left="1440" w:hanging="360"/>
      </w:pPr>
    </w:lvl>
    <w:lvl w:ilvl="2" w:tplc="0BF86CD0">
      <w:start w:val="1"/>
      <w:numFmt w:val="bullet"/>
      <w:lvlText w:val="■"/>
      <w:lvlJc w:val="left"/>
      <w:pPr>
        <w:ind w:left="2160" w:hanging="360"/>
      </w:pPr>
    </w:lvl>
    <w:lvl w:ilvl="3" w:tplc="E940D270">
      <w:start w:val="1"/>
      <w:numFmt w:val="bullet"/>
      <w:lvlText w:val="●"/>
      <w:lvlJc w:val="left"/>
      <w:pPr>
        <w:ind w:left="2880" w:hanging="360"/>
      </w:pPr>
    </w:lvl>
    <w:lvl w:ilvl="4" w:tplc="D488E4A0">
      <w:start w:val="1"/>
      <w:numFmt w:val="bullet"/>
      <w:lvlText w:val="○"/>
      <w:lvlJc w:val="left"/>
      <w:pPr>
        <w:ind w:left="3600" w:hanging="360"/>
      </w:pPr>
    </w:lvl>
    <w:lvl w:ilvl="5" w:tplc="57D4D0F4">
      <w:start w:val="1"/>
      <w:numFmt w:val="bullet"/>
      <w:lvlText w:val="■"/>
      <w:lvlJc w:val="left"/>
      <w:pPr>
        <w:ind w:left="4320" w:hanging="360"/>
      </w:pPr>
    </w:lvl>
    <w:lvl w:ilvl="6" w:tplc="B002DD00">
      <w:start w:val="1"/>
      <w:numFmt w:val="bullet"/>
      <w:lvlText w:val="●"/>
      <w:lvlJc w:val="left"/>
      <w:pPr>
        <w:ind w:left="5040" w:hanging="360"/>
      </w:pPr>
    </w:lvl>
    <w:lvl w:ilvl="7" w:tplc="C260521E">
      <w:start w:val="1"/>
      <w:numFmt w:val="bullet"/>
      <w:lvlText w:val="●"/>
      <w:lvlJc w:val="left"/>
      <w:pPr>
        <w:ind w:left="5760" w:hanging="360"/>
      </w:pPr>
    </w:lvl>
    <w:lvl w:ilvl="8" w:tplc="E08E5E1E">
      <w:start w:val="1"/>
      <w:numFmt w:val="bullet"/>
      <w:lvlText w:val="●"/>
      <w:lvlJc w:val="left"/>
      <w:pPr>
        <w:ind w:left="6480" w:hanging="360"/>
      </w:pPr>
    </w:lvl>
  </w:abstractNum>
  <w:num w:numId="1" w16cid:durableId="621225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6D"/>
    <w:rsid w:val="00004048"/>
    <w:rsid w:val="00501DD4"/>
    <w:rsid w:val="005D750F"/>
    <w:rsid w:val="009A0720"/>
    <w:rsid w:val="00B57A6D"/>
    <w:rsid w:val="00CE66FE"/>
    <w:rsid w:val="00CE6E78"/>
    <w:rsid w:val="00D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942FB"/>
  <w15:docId w15:val="{90D50316-5D4D-6241-872A-7499A1CE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00" w:line="360" w:lineRule="auto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180" w:after="120" w:line="360" w:lineRule="auto"/>
      <w:outlineLvl w:val="1"/>
    </w:pPr>
    <w:rPr>
      <w:b/>
      <w:bCs/>
      <w:color w:val="2E549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004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404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12522</Words>
  <Characters>71378</Characters>
  <Application>Microsoft Office Word</Application>
  <DocSecurity>0</DocSecurity>
  <Lines>594</Lines>
  <Paragraphs>167</Paragraphs>
  <ScaleCrop>false</ScaleCrop>
  <Company/>
  <LinksUpToDate>false</LinksUpToDate>
  <CharactersWithSpaces>83733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piața muncii Sud-Vest Oltenia – Trimestrul II 2026</dc:title>
  <dc:creator>Analiză piața muncii</dc:creator>
  <cp:lastModifiedBy>Ene Mihai</cp:lastModifiedBy>
  <cp:revision>6</cp:revision>
  <dcterms:created xsi:type="dcterms:W3CDTF">2026-06-16T11:26:00Z</dcterms:created>
  <dcterms:modified xsi:type="dcterms:W3CDTF">2026-06-18T15:00:00Z</dcterms:modified>
</cp:coreProperties>
</file>