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DD" w:rsidRPr="000D6B0E" w:rsidRDefault="001356DD" w:rsidP="000D6B0E">
      <w:pPr>
        <w:rPr>
          <w:rFonts w:ascii="Times New Roman" w:hAnsi="Times New Roman" w:cs="Times New Roman"/>
          <w:sz w:val="24"/>
        </w:rPr>
      </w:pPr>
    </w:p>
    <w:p w:rsidR="000D6B0E" w:rsidRPr="000D6B0E" w:rsidRDefault="000D6B0E" w:rsidP="000D6B0E">
      <w:pPr>
        <w:rPr>
          <w:rFonts w:ascii="Times New Roman" w:hAnsi="Times New Roman" w:cs="Times New Roman"/>
          <w:sz w:val="24"/>
        </w:rPr>
      </w:pPr>
    </w:p>
    <w:p w:rsidR="000D6B0E" w:rsidRPr="000D6B0E" w:rsidRDefault="003F04A0" w:rsidP="000D6B0E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ANEXA 3</w:t>
      </w:r>
      <w:bookmarkStart w:id="0" w:name="_GoBack"/>
      <w:bookmarkEnd w:id="0"/>
      <w:r w:rsidR="000D6B0E" w:rsidRPr="000D6B0E">
        <w:rPr>
          <w:rFonts w:ascii="Times New Roman" w:hAnsi="Times New Roman" w:cs="Times New Roman"/>
          <w:b/>
          <w:sz w:val="24"/>
        </w:rPr>
        <w:t xml:space="preserve"> </w:t>
      </w:r>
    </w:p>
    <w:p w:rsidR="000D6B0E" w:rsidRPr="000D6B0E" w:rsidRDefault="000D6B0E" w:rsidP="000D6B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D6B0E" w:rsidRPr="000D6B0E" w:rsidRDefault="000D6B0E" w:rsidP="000D6B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b/>
          <w:sz w:val="24"/>
        </w:rPr>
        <w:t>CODURI CAEN ELIGIBILE</w:t>
      </w:r>
      <w:r w:rsidRPr="000D6B0E">
        <w:rPr>
          <w:rFonts w:ascii="Times New Roman" w:hAnsi="Times New Roman" w:cs="Times New Roman"/>
          <w:sz w:val="24"/>
        </w:rPr>
        <w:t xml:space="preserve"> </w:t>
      </w: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sz w:val="24"/>
        </w:rPr>
      </w:pP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sz w:val="24"/>
        </w:rPr>
        <w:tab/>
      </w:r>
      <w:r w:rsidRPr="000D6B0E">
        <w:rPr>
          <w:rFonts w:ascii="Times New Roman" w:hAnsi="Times New Roman" w:cs="Times New Roman"/>
          <w:b/>
          <w:sz w:val="24"/>
        </w:rPr>
        <w:t>Coduri CAEN eligibile:</w:t>
      </w: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b/>
          <w:sz w:val="24"/>
        </w:rPr>
        <w:tab/>
        <w:t>I. Producție (industrie prelucrătoare) + cod 6201 IT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anexe silviculturii - 0240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minereurilor feroase - 0710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altor minereuri metalifere neferoase - 0729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pietrei ornamentale li a pietrei pentru construcții, extracția pietrei calcaroase, gipsului, cretei și ardeziei – 0811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pietrișului și nisipului; extracția argilei și caolinului – 0812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mineralelor pentru industria chimică și îngrășămintelor naturale – 0891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Extracția sării – 0893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extractive n.c.a. – 0899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și conservarea cărnii de pasăre – 1012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din carne (inclusiv din carne de pasăre) – 1013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și conservarea peștelui, crustaceelor și moluștelor – 1020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și conservarea cartofilor – 1031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sucurilor de fructe și legume – 1032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și conservarea fructelor și legumelor n.c.a. – 1039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lactate și a brânzeturilor – 1051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înghețatei - 1052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pâinii; fabricarea prăjiturilor și a produselor proaspete de patiserie – 1071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biscuiților și pișcoturilor; fabricarea prăjiturilor și a produselor conservate de patiserie – 1072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macaroanelor, tăițeilor, cus-cus-ului și a altor produse făinoase similare – 1073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zahărului – 1081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din cacao, a ciocolatei și produselor zaharoase – 1082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ceaiului și cafelei – 1083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condimentelor și ingredientelor – 1084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mâncăruri preparate – 1085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preparatelor alimentare omogenizate și alimentelor dietetice – 1086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alimentare n.c.a. – 1089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preparatelor pentru hrana animalelor de companie – 1092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băuturi răcoritoare nealcoolice; producția de ape minerale și alte ape îmbuteliate - 1107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Pregătirea fibrelor și filarea fibrelor textile – 1310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țesături – 1320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Finisarea materialelor textile 1330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metraje prin tricotare sau croșetare – 1391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Fabricarrea de articole confecționate din textile (cu excepția îmbrăcămintei și lenjeriei de corp) – 1392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covoare și mochete – 1393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odgoane, frânghii, sfori și plase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textile nețesute și articole din acestea, cu excepția confecțiilor și îmbrăcămintei – 1395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 de articole tehnice și industriale din textile – 1396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altor articole textile n.c.a. – 1399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de îmbrăcăminte din piele – 1411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articole de îmbrăcăminte pentru lucru – 1412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articole de îmbrăcăminte (exclusiv lenjeria de corp) - 1413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articole de lenjerie de corp – 1414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articole de îmbrăcăminte și accesorii n.c.a. – 1419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din blană – 1420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prin tricotare sau croșetare a ciorapilor și articolelor de galanterie – 1431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prin tricotare sau croșetare a altor articole de îmbrăcăminte – 1439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Tăbăcirea și finisarea pieilor; prepararea și vopsirea blănurilor – 1511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de voiaj și marochinărie și a articolelor de harnașament – 1512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încălțămintei – 1520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Tăierea și rindeluirea lemnului – 1610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furnire și a panourilor din lemn – 1621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parchetului asamblat în panouri – 1622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elemente de dulgherie și tâmplărie pentru coonstrucții – 1623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ambalajelor din lemn – 1624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din lemn; fabricarea articolelor din plută, paie și din alte materiale vegetale împletite – 1629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celulozei – 1711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hârtiei și cartonului – 1712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hârtiei și cartonului ondulat și a ambalajelor din hârtie și carton – 1721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de uz gospodăresc și sanitar, din hârtie sau carton – 1722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de papetărie – 1723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tapetului – 1724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articole din hârtie și carton n.c.a. – 1729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Tipărirea ziarelor – 1811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tipărire n.c.a. – 1812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coloranților și a pigmenților – 2012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chimice anorganice, de bază – 2013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 altor produse chimice organice, de bază – 2014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îngrășămintelor și produselor azotoase – 2015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materialelor plastice în forme primare – 2016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cauciucului sintetic în forme primare – 2017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pesticidelor și a altor produse agrochimice – 2020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vopselelor, lacurilor, cernelii tipografice și masticurilor – 2030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săpunurilor, detergenților și a produselor de înterținere – 2041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parfumurilor și a produselor cosmetice (de toaletă) – 2042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cleiurilor – 2052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chimice n.c.a. – Cu excepția uleiurilor și grăsimilor modifivcate chimic (biodiesel și bioetanol) – 2059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fibrelor sintetice și artificiale – 2060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farmaceutice de bază – 2110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preparatelor farmaceutice – 2120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anvelopelor și a camerelor de aer; reșaparea și refacerea anvelopelor – 2211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din cauciuc – 2219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plăcilor, foliilor, tuburilor și profilelor din materiale plastic – 2221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de ambalaj din material plastic – 2222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din material plastic pentru construcții – 2223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din material plastic – 2229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sticlei plate – 2311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și fasonarea sticlei plate – 2312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din sticlă – 2313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fibrelor din sticlă – 2314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sticlărie tehnică – 2319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produse refractare – 2320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plăcilor și dalelor din ceramică – 2331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cărămizilor, țiglelor și altor produse pentru construcții, din argilă arsă – 2332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ceramice pentru uz gospodăresc și ornamental – 2341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obiiecte sanitare din ceramică – 2342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izolatorilor și pieselor izolante din ceramică – 2343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tehnice din ceramică – 2344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ceramice n.c.a. – 2349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cimentului – 2351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varului și a ipsosului – 2352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din beton pentru construcții – 2361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din ipsos pentru construcții – 2362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betonului – 2363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mortarului – 2364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din azbociment – 2365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articole din beton, ciment și ipsos – 2369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Tăierea, fasonarea și finisarea pietrei – 2370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produse abrazive – 2391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din minerale nemetalice n.c.a. – 2399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metale feroase sub forme primare și de feroaliaje – 2410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Producția de tuburi, țevi, profile tubulare și accesorii pentru acestea, din oțel – 2420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Tragere la rece a barelor – 2431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Laminarea la rece a benzilor înguste – 2432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profile obținute la rece – 2433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Trefilarea firelor la rece – 2434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metalelor prețioase – 2441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Metalurgia aluminiului – 2442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plumbului, zincului și cositorului – 2443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Metalurgia cuprului – 2444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altor metale neferoase – 2445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Turnarea fontei -2451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Turnarea oțelului – 2452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Turnarea metalelor neferoase ușoare – 2453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Turnarea altor metale neferoase – 2454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construcții metalice și părți componente ale structurilor metalice – 2511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uși și ferestre din metal – 2512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radiatoare și cazane pentru încălzire centrală – 2521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rezervoare, cisterne și containere metalice – 2529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generatoarelor de aburi (cu excepția cazanelor pentru încălzire centrală) – 2530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metalice obținute prin deformare plastică; metalurgia pulberilor – 2550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Tratarea și acoperirea metalelor – 2561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Operațiuni de mecanică generală – 2562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de tăiat – 2571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articolelor de feronerie – 2572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uneltelor – 2573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recipienți, containere și alte produse similare din oțel – 2591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ambalajelor ușoare din metal – 2592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atrticolelor din fire metalice; fabricarea de lanțuri și arcuri – 2593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șuruburi, buloane și alte articole filetate; fabricarea de nituri și șaibe – 2594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articole din metal n.c.a. – 2599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subansamblurilor electronice (module) – 2611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componente electronice – 2612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calculatoarelor și a echipamentelor periferice – 2620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echipamentelor de comunicații – 2630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produselor electronice de larg consum – 2640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instrumente și dispozitive pentru măsură, verificare, control, navigație – 2651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ceasuri – 2652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echipamente pentru radiologie, electrodiagnostic și electroterapie – 2660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instrumente optice și echipamente fotografice – 2670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suporților magnetici și optici destinați înregistrărilor – 2680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motoarelor, generatoarelor și transformatoarelor electrice – 2711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aparatelor de distribuție și control a electricității – 2712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acumulatori și baterii – 2720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cabluri cu fibră optică – 2731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fire și cabluri electrice și electronice – 2732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dispozitivelor de conexiune pentru fire și cabluri electrice și electronice – 2733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de echipamente electrice de iluminat – 2740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aparate electrocasnice – 2751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echipamente casnice neelectrice – 2752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echipamente electrice – 2790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motoare și turbine – 2811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motoare hidraulice – 2812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pompe și compresoare – 2813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articole de robinetărie – 2814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lagărelor, angrenajelor, cutiilor de viteză și a elementelor mecanice de transmisie – 2815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cuptoarelor, furnalelor și arzătoarelor – 2821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echipamentelor de ridicat și manipulat – 2822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mașinilor și echipamentelor de birou (exclusiv fabricarea calculatoarelor și a echipamentelor periferice) – 2823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mașinilor-unelte portabile acționat electric – 2824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echipamentelor de ventilație și frigorifice, exclusiv a echipamentelor de uz casnic – 2825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 altor mașini și utilaje de utilizare generală n.c.a. – 2829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mașinilor și utilajelor pentru agricultură și exploatări forestiere – 2830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și a mașinilor-unelte pentru prelucrarea metalului – 2841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mașini-unelte n.c.a. – 2849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pentru metalurgie – 2891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pentru extracție și construcții – 2892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pentru prelucrarea produselor alimentare, băuturilor și tutunului – 2893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utilajelor pentru industria textilă, a îmbrăcămintei și a pielăriei – 2894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pentru industria hârtiei și cartonului – 2895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utilajelor pentru prelucrarea maselor plastice și a cauciucului – 2896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mașini și utilaje specifice n.c.a. – 2899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autovehiculelor de transport rutier – 2910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Producția de caroserii pentru autovehicule; fabricarea de remorci și semiremorci - 20920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echipamente electrice și electronice pentru autovehicule și motoare de autovehicule – 2931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piese și accesorii pentru autovehicule și pentru motoare de autovehicule – 2932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Construcția de nave și structuri plutitoare – 3011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Construcția de ambarcațiuni sportive și de agrement – 3012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materialului rulant – 3020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aeronave și nave spațiale – 3030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motociclete – 3091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biciclete și de vehicule pentru invalizi – 3092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mijloace de transport n.c.a.</w:t>
      </w:r>
      <w:r w:rsidRPr="000D6B0E">
        <w:rPr>
          <w:rFonts w:ascii="Times New Roman" w:hAnsi="Times New Roman" w:cs="Times New Roman"/>
          <w:sz w:val="24"/>
        </w:rPr>
        <w:tab/>
        <w:t>- 3099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mobilă pentru birouri și magazine – 3101</w:t>
      </w:r>
      <w:r w:rsidRPr="000D6B0E">
        <w:rPr>
          <w:rFonts w:ascii="Times New Roman" w:hAnsi="Times New Roman" w:cs="Times New Roman"/>
          <w:sz w:val="24"/>
        </w:rPr>
        <w:tab/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mobilă pentru bucătării – 3102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saltele și somiere – 3103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mobilă n.c.a. – 3109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bijuteriilor și articolelor similare din metal și pietre prețioase – 3212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imitațiilor de bijuterii și articole similare – 3213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instrumentelor muzicale – 3220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articolelor pentru sport – 3230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Fabricarea jocurilor și jucăriilor – 3240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de dispozitive, aparate și instrumente medicale stomatologice - 3250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 măturilor și periilor – 3291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Fabricarea altor produse manufacturiere n.c.a. – 3299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Tratarea și eliminarea deșeurilor nepericuloase cu excepția producției de înlocuitori de combustibili și biogaz – 3821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Tratarea și eliminarea deșeurilor periculoase cu excepția deșeurilor nucleare radioactive – 3822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Recuperarea materialelor reciclabile sortate – 3832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realizare a softului la comandă (software oorientat client) – 6201</w:t>
      </w: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sz w:val="24"/>
        </w:rPr>
      </w:pPr>
    </w:p>
    <w:p w:rsidR="000D6B0E" w:rsidRPr="000D6B0E" w:rsidRDefault="000D6B0E" w:rsidP="000D6B0E">
      <w:pPr>
        <w:spacing w:line="360" w:lineRule="auto"/>
        <w:ind w:left="708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b/>
          <w:sz w:val="24"/>
        </w:rPr>
        <w:t>II. Industrii creative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a cărților – 5811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de ghiduri, compendii, liste de adrese și similare – 5812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a ziarelor – 5813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a revistelor și periodicelor – 5814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editare – 5819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a jocurilor de calculator – 5821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editare a altor produse software – 5829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producție cinematografică, video și de programe de televiziune – 5911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post-producție cinematografică, video și de programe de televiziune – 5912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distribuție a filmelor cinematografice, video și a programelor de televiziune – 5913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Proiecție de filme cinematografice – 5914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Activități de realizare a înregistrărilor audio și activități de editare muzicală – 5920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consultanță în tehnologia informației – 6202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management (gestiune și exploatare) a mijloacelor de calcul – 6203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servicii privind tehnologia informației – 6209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Prelucrarea datelor, administrarea paginilor web și activități conexe – 6311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portalurilor web – 6312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agențiilor de știri – 6391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servicii informaționale n.c.a. – 6399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arhitectură – 7111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inginerie și consultanță tehnică legate de acestea – 7112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testări și analize tehnice – 7120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Cercetare-dezvoltare în biotehnologie – 7211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Cercetare-dezvoltare în alte științe naturale și inginerie – 7219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Cercetare-dezvoltare în științe sociale și umaniste – 7220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agențiilor de publicitate – 7311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Servicii de reprezentare media – 7312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studiere a pieței și de sondare a opiniei publice – 7320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design specializat – 7410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fotografice – 7420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traducere scrisă și orală (interpreți) – 7430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 xml:space="preserve">Alte activități profesionale, științifice și tehnice n.c.a. cu excepția: activităților de brokeraj pentru întreprinderi, adică aranjamente pentru cumpărarea și vânzarea de întreprinderi mici și mijlocii, inclusiv a experienței profesionale, dar neincluzând activitățile de brokeraj pentru bunuri imobiliare; activități de brokeraj pentru brevete (aranjamente pentru cumpărarea și vânzarea de </w:t>
      </w:r>
      <w:r w:rsidRPr="000D6B0E">
        <w:rPr>
          <w:rFonts w:ascii="Times New Roman" w:hAnsi="Times New Roman" w:cs="Times New Roman"/>
          <w:sz w:val="24"/>
        </w:rPr>
        <w:lastRenderedPageBreak/>
        <w:t>brevete); activități de evaluare, altele decât pentru bunuri imobiliare și asigurări (pentru antichități, bijuterii, etc.); auditarea facturilor și a rapoartelor privind mărfurile - 7490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preșcolar – 8510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primar - 8520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secundar general – 8531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secundar, tehnic sau profesional – 8532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superior non-universitar – 8541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superior universitar – 8542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în domeniul sportiv și recreațional – 8551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Învățământ în domeniul cultural (limbi străine, muzică, teatru, dans, arte plastice, etc.) – 8552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Școli de conducere (pilotaj) – 8553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forme de învățământ n.c.a. – 8559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suport pentru învățământ – 8560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asistență spitalicească – 8610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asistență medicală generală – 8621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asistență medicală specializată – 8622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asistență stomatologică – 8623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referitoare la sănătatea umană – 8690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centrelor de îngrijire medicală – 8710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centrelor de recuperare psihică și de dezintoxicare, exclusiv spitale – 8720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căminelor de bătrâni și ale căminelor pentru persoane aflate în incapacitate de a se îngriji singure – 8730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asistență socială cu cazare n.c.a. – 8790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interpretare artistică (spectacole) – 9001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Activități suport pentru interpretare artistică (spectacole) – 9002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creație artistică – 9003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gestionare a sălilor de spectacole – 9004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bibliotecilor și arhivelor – 9101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muzeelor – 9102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Gestionarea monumentelor, clădirilor istorice și a altor obiective de interes turistic – 9103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grădinilor zoologice, botanice și ale rezervațiilor naturale – 9104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bazelor sportive – 9311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cluburilor sportive – 9312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centrelor de fitness – 9313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sportive – 9319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Bâlciuri și parcuri de distracții – 9321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recreative și distractive n.c.a. – 9329</w:t>
      </w:r>
    </w:p>
    <w:p w:rsidR="000D6B0E" w:rsidRPr="000D6B0E" w:rsidRDefault="000D6B0E" w:rsidP="000D6B0E">
      <w:pPr>
        <w:spacing w:line="360" w:lineRule="auto"/>
        <w:rPr>
          <w:rFonts w:ascii="Times New Roman" w:hAnsi="Times New Roman" w:cs="Times New Roman"/>
          <w:sz w:val="24"/>
        </w:rPr>
      </w:pPr>
    </w:p>
    <w:p w:rsidR="000D6B0E" w:rsidRPr="000D6B0E" w:rsidRDefault="000D6B0E" w:rsidP="000D6B0E">
      <w:pPr>
        <w:spacing w:line="360" w:lineRule="auto"/>
        <w:ind w:left="708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b/>
          <w:sz w:val="24"/>
        </w:rPr>
        <w:t>III. Servicii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Servicii pregătitoare pentru pretipărire – 1813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Legătorie și servicii conexe – 1814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Reproducerea înregistrărilor – 1820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articolelor fabricate din metal – 3311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mașinilor – 3312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echipamentelor electronice și optice – 3313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echipamentelor electrice – 3314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și întreținerea navelor și bărcilor – 3315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și întreținerea aeronavelor și navelor spațiale – 3316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și întreținerea altor echipamente de transport n.c.a. – 3317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altor echipamente – 3319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Instalarea mașinilor și echipamentelor industriale – 3320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Captarea, tratarea și distribuția apei – 3600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Colectarea și epurarea apelor uzate – 3700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Colectarea deșeurilor nepericuloase – 3811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Colectarea deșeurilor periculoase – 3812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Demolarea (dezasamblarea) mașinilor și echipamentelor scoase din uz pentru recuperarea materialelor – 3831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și servicii de decontaminare – 3900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Dezvoltare promovare imobiliară – 4110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clădirilor rezidențiale și nerezidențiale – 4120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drumurilor și autostrăzilor – 4211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căilor ferate de suprafață și subterane – 4212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Construcția de poduri și tuneluri – 4213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proiectelor utilitare pentru fluide – 4221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proiectelor utilitare pentru electricitate și telecomunicații – 4222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Construcții hidrotehnice – 4291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construcții a altor proiecte inginerești n.c.a. – 4299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demolare a construcțiilor – 4311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pregătire a terenului – 4312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foraj și sondaj pentru construcții – 4313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instalații electrice – 4321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instalații sanitare, de încălzire și de aer condiționat – 4322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lucrări de instalații pentru construcții – 4329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ipsoserie – 4331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tâmplărie și dulgherie – 4332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pardosire și placare a pereților – 4333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Lucrări de vopsitorie, zugrăveli și montări geamuri – 4334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lucrări de finisare – 4339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Lucrări de învelitori, șarpante și terase la construcții – 4391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lucrări speciale de construcții n.c.a. – 4399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Întreținerea și repararea autovehiculelor – 4520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interurbane de călători pe calea ferată – 4910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urbane, suburbane și metropolitane de călători – 4931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Transportuir cu taxiuri – 4932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 xml:space="preserve"> Alte transporturi terestere de călători n.c.a. – 4939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maritime și costiere de pasageri – 5010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de pasageri pe căi navigabile interioare – 5030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aeriene de pasageri – 5110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Transporturi spațiale - 5122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Depozitări – 5210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anexe pentru transporturi terestre – 5221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anexe pentru transpporturi pe apă – 5222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anexe transporturilor aeriene – 5223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Manipulări – 5224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anexe transporturilor – 5229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poștale desfășurate sub obligativitatea serviciului universal – 5310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poștale și de curier – 5320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Hoteluri și alte facilități de cazare similare – 5510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Facilități de cazare pentru vacanțe și perioade de scurtă durată – 5520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Parcuri pentru rulote, campinguri și tabere – 5530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servicii de cazare – 5590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Restaurante – 5610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alimentație (catering) pentru evenimente – 5621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Alte servicii de alimentație n.c.a. – 5629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difuzare a programelor radio – 6010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difuzare a programelor de televiziune – 6020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telecomunicații prin rețele cu cablu – 6110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telecomunicații prin rețele fără cablu (exclusiv prin satelit) – 6120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telecomunicații prin satelit – 6130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telecomunicații - 6190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asigurări de viață – 6511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asigurări (exceptând asigurările de viață) – 6512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reasigurare – 6520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evaluare a riscului de asigurare și a pagubelor – 6621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agențiilor și brokerilor de asigurări – 6622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auxiliare activități de asigurări și fonduri de pensii – 6629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Cumpărare și vânzare de bunuri imobiliare proprii fără leasing – 6810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Închirierea și subînchirierea bunurilor imobiliare proprii sau în leasing cu excepție leasing – 6820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Agenții imobiliare – 6831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Administrarea imobilelor pe bază de comision sau contract – 6832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juridice – 6910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contabilitate și audit financiar; consultanță în domeniul fiscal – 6920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consultanță în domeniul relațiilor publice și al comunicării – 7021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consultanță pentru afaceri și management – 7022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veterinare – 7500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autoturisme și autovehicule rutiere ușoare fără leasing – 7711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Activități de închiriere și leasing cu autovehicule rutiere grele fără leasing – 7712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bunuri recreaționale și echipament sportiv fără leasing – 7721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Închirierea de casete video și discuri (CD-uri, DVD-uri) – 7722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alte bunuri personale și gospodărești n.c.a. – 7729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mașini și echipamente agricole – 7731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mașini și echipamente pentru construcții – 7732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mașini și echipamente de birou (inclusiv calculatoare) – 7733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mașini și echipamente de transport pe apă – 7734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mașini și echipamente de transport aerian – 7735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închiriere și leasing cu alte mașini, echipamente și bunuri tangibile – 7739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agențiilor de plasare a forței de muncă – 7810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contractare, pe baze temporare, a personalului – 7820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Servicii de furnizare și management a forței de muncă – 7830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agențiilor turistice – 7911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tur-operatorilor – 7912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servicii de rezervare și asistență turistică – 7990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protecție și gardă – 8010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servicii privind sistemele de securizare – 8020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investigații – 8030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Activități de servicii suport combinate – 8110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generale de curățenie a clădirilor – 8121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specializate de curățenie – 8122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curățenie – 8129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întreținere peisagistică – 8130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combinate de secretariat – 8211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fotocopiere, de pregătire a documentelor și alte activități specializate de secretariat – 8219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ale centrelor de intermediere telefonică (call center) – 8220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organizare a expozițiilor, târgurilor și congreselor – 8230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ambalare – 8292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servicii suport pentru întreprinderi n.c.a. – 8299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asistență socială, fără cazare, pentru bătrâni și pentru persoane aflate în incapacitate de a se îngriji singure – 8810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îngrijire zilnică pentru copii – 8891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asistență socială, fără cazare, n.c.a. – 8899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calculatoarelor și a echipamentelor periferice – 9511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echipamentelor de comunicații – 9512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aparatelor electronice de uz casnic – 9521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dispozitivelor de uz gospodăresc și a echipamentelor pentru casă și grădină – 9522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încălțămintei și a articolelor din piele – 9523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mobilei și a furniturilor casnice – 9524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ceasurilor și a bijuteriilor – 9525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Repararea articolelor de uz personal și gospodăresc n.c.a. – 9529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Spălarea și curățarea (uscată) articolelor textile și a produselor din blană – 9601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Coafură și alte activități de înfrumusețare – 9602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pompe funebre și similare – 9603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Activități de întreținere corporală – 9604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de servicii n.c.a. – 9609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Alte activități ale gospodăriilor private în calitate de angajator de personal casnic – 9700</w:t>
      </w:r>
    </w:p>
    <w:p w:rsidR="000D6B0E" w:rsidRPr="000D6B0E" w:rsidRDefault="000D6B0E" w:rsidP="000D6B0E">
      <w:pPr>
        <w:pStyle w:val="ListParagraph"/>
        <w:spacing w:line="360" w:lineRule="auto"/>
        <w:ind w:left="1428"/>
        <w:rPr>
          <w:rFonts w:ascii="Times New Roman" w:hAnsi="Times New Roman" w:cs="Times New Roman"/>
          <w:sz w:val="24"/>
        </w:rPr>
      </w:pPr>
    </w:p>
    <w:p w:rsidR="000D6B0E" w:rsidRPr="000D6B0E" w:rsidRDefault="000D6B0E" w:rsidP="000D6B0E">
      <w:pPr>
        <w:spacing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0D6B0E">
        <w:rPr>
          <w:rFonts w:ascii="Times New Roman" w:hAnsi="Times New Roman" w:cs="Times New Roman"/>
          <w:b/>
          <w:sz w:val="24"/>
        </w:rPr>
        <w:t>IV. Comerț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autoturisme și autovehicule ușoare (sub 3.5 tone) – 4511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alte autovehicule – 4519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de piese și accesorii pentru autovehicule – 4531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de piese și accesorii pentru autovehicule – 4532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motociclete, piese și accesorii aferente; întreținerea și repararea motocicletelor – 4540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băuturilor cu excepția băuturilor alcoolice – 4634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zahărului, ciocolatei și produselor zaharoase – 4636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cu cafea, ceai, cacao și condimente – 4637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specializat al altor alimente, inclusiv pește, crustacee și moluște – 4638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nespecializat de produse alimentare, băuturi și tutun cu excepția băuturilor alcoolice – 4639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produselor textile – 4641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îmbrăcămintei și încălțămintei – 4642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aparatelor electrice de uz gospodăresc, al aparatelor de radio și televizoarelor – 4643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produselor din ceramică, sticlărie și produse de întreținere – 4644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Comerț cu ridicata al produselor cosmetice și de parfumerie – 4645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produselor farmaceutice – 4646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mobilei, covoarelor și a articolelor de iluminat – 4647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ceasurilor și bijuteriilor – 4648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altor bunuri de uz gospodăresc – 4649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calculatoarelor, echipamentelor periferice și software-ului – 4651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de componente și echipamente electronice și de telecomunicații – 4652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mașinilor-unelte – 4662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mașinilor pentru industria minieră și construcții – 4663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 al mașinilor pentru industria textilă și al mașinilor de cusut și tricotat – 4664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mobilei de birou – 4665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altor mașini și echipamente de birou – 4666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altor mașini și echipamente – 4669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materialului lemnos și a materialelor de construcție și echipamentelor sanitare – 4673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echipamentelor și furniturilor de fierărie pentru instalații sanitare și de încălzire – 4674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produselor chimice – 4675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altor produse intermediare – 4676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al deșeurilor și resturilor – 4677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ridicata nespecializat – 4690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în magazine nespecializate, cu vânzare predominantă de produse alimentare, băuturi și tutun cu excepția băuturilor alcoolice – 4711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Comerț cu amănuntul în magazine nespecializate, cu vânzare predominantă de produse nealimentare – 4719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pâinii, produselor de patiserie și produselor zaharoase, în magazine specializate – 4724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băuturilor, în magazine specializate cu excepția băuturilor alcoolice – 4725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altor produse alimentare, în magazine specializate – 4729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carburanților pentru autovehicule, în magazine specializate – 4730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calculatoarelor, unităților periferice și software-ului în magazine specializate – 4741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echipamentului pentru telecomunicații în magazine specializate – 4742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echipamentelor audio/video în magazine specializate – 4743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textilelor, în magazine specializate – 4751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articolelor de fierărie, al articolelor din sticlă și a celor pentru vopsit, în magazine specializate – 4752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covoarelor, carpetelor, tapetelor și a altor acoperitoare de podea, în magazine specializate – 4753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articolelor și aparatelor electrocasnice, în magazine specializate – 4754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mobilei, al articolelor de iluminat și al articolelor de uz casnic n.c.a. în magazine specializate – 4759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cărților, în magazine specializate – 4761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Comerț cu amănuntul al ziarelor și articolelor de papetărie, în magazine specializate – 4762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discurilor și benzilor magnetice cu sau fără înregistrări audio/video, în magazine specializate – 4763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echipamentelor sportive, în magazine specializate – 4764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jocurilor și jucăriilor, în magazine specializate – 4765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îmbrăcămintei, în magazine specializate – 4771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amănunttul al încălțămintei și articolelor din piele, în magazine specializate – 4772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produselor farmaceutice, în magazine specializate – 4773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articolelor medicale și ortopedice, în magazine specializate – 4774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produselor cosmetice și de parfumerie, în magazine specializate – 4775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florilor, plantelor și semințelor; comerț cu amănuntul al amnimalelor de companiei și a hranei pentru acestea, în magazine specializate – 4776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ceasurilor și bijuteriilor, în magazine specializate – 4777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altor bunuri noi, în magazine specializate, cu excepția combustibililor, armelor și muniției – 4778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bunurilor de ocazie vândute prin magazine – 4779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al textilelor, îmbrăcămintei și încălțămintei efectuat prin standuri, chioșcuri și piețe – 4782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prin standuri, chioșcuri și piețe al altor produse – 4789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lastRenderedPageBreak/>
        <w:t>Comerț cu amănuntul prin intermediul caselor de comenzi sau prin Internet cu excepția băuturilor alcoolice și tutunului, armelor și muniției, combustibililor – 4791</w:t>
      </w:r>
    </w:p>
    <w:p w:rsidR="000D6B0E" w:rsidRPr="000D6B0E" w:rsidRDefault="000D6B0E" w:rsidP="00474515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</w:rPr>
      </w:pPr>
      <w:r w:rsidRPr="000D6B0E">
        <w:rPr>
          <w:rFonts w:ascii="Times New Roman" w:hAnsi="Times New Roman" w:cs="Times New Roman"/>
          <w:sz w:val="24"/>
        </w:rPr>
        <w:t>Comerț cu amănuntul efectuat în afara magazinelor, standurilor, chioșcurilor și piețelor cu excepția băuturilor și tutunului, armelor și muniției, combustibililor – 4799</w:t>
      </w:r>
    </w:p>
    <w:p w:rsidR="000D6B0E" w:rsidRPr="000D6B0E" w:rsidRDefault="000D6B0E" w:rsidP="000D6B0E">
      <w:pPr>
        <w:rPr>
          <w:rFonts w:ascii="Times New Roman" w:hAnsi="Times New Roman" w:cs="Times New Roman"/>
          <w:sz w:val="24"/>
        </w:rPr>
      </w:pPr>
    </w:p>
    <w:sectPr w:rsidR="000D6B0E" w:rsidRPr="000D6B0E" w:rsidSect="002232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40" w:rsidRDefault="00FF1E40" w:rsidP="00B90BFE">
      <w:r>
        <w:separator/>
      </w:r>
    </w:p>
  </w:endnote>
  <w:endnote w:type="continuationSeparator" w:id="0">
    <w:p w:rsidR="00FF1E40" w:rsidRDefault="00FF1E40" w:rsidP="00B9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 w:rsidP="00196FB0">
    <w:pPr>
      <w:pStyle w:val="Footer"/>
    </w:pPr>
  </w:p>
  <w:p w:rsidR="003C6EC3" w:rsidRDefault="003C6EC3" w:rsidP="00196FB0">
    <w:pPr>
      <w:pStyle w:val="Footer"/>
    </w:pPr>
  </w:p>
  <w:p w:rsidR="003C6EC3" w:rsidRPr="00A2057A" w:rsidRDefault="003C6EC3" w:rsidP="00196FB0">
    <w:pPr>
      <w:pStyle w:val="Footer"/>
    </w:pPr>
    <w:r w:rsidRPr="00724831">
      <w:t>Pagina nr. ___ din 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>
    <w:pPr>
      <w:pStyle w:val="Footer"/>
    </w:pPr>
    <w:r>
      <w:rPr>
        <w:lang w:val="ro-RO" w:eastAsia="ro-RO"/>
      </w:rPr>
      <w:drawing>
        <wp:inline distT="0" distB="0" distL="0" distR="0" wp14:anchorId="3645E343" wp14:editId="322C605A">
          <wp:extent cx="5760720" cy="666115"/>
          <wp:effectExtent l="0" t="0" r="0" b="635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40" w:rsidRDefault="00FF1E40" w:rsidP="00B90BFE">
      <w:r>
        <w:separator/>
      </w:r>
    </w:p>
  </w:footnote>
  <w:footnote w:type="continuationSeparator" w:id="0">
    <w:p w:rsidR="00FF1E40" w:rsidRDefault="00FF1E40" w:rsidP="00B9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4"/>
      <w:gridCol w:w="1074"/>
    </w:tblGrid>
    <w:tr w:rsidR="003C6EC3" w:rsidRPr="00D145FE" w:rsidTr="00196FB0">
      <w:tc>
        <w:tcPr>
          <w:tcW w:w="8214" w:type="dxa"/>
        </w:tcPr>
        <w:p w:rsidR="003C6EC3" w:rsidRPr="007501CA" w:rsidRDefault="003C6EC3" w:rsidP="00196FB0">
          <w:pPr>
            <w:pStyle w:val="Header"/>
            <w:rPr>
              <w:rFonts w:eastAsia="Calibri"/>
            </w:rPr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TITLE   \* MERGEFORMAT </w:instrText>
          </w:r>
          <w:r w:rsidRPr="007501CA">
            <w:rPr>
              <w:rFonts w:eastAsia="Calibri"/>
            </w:rPr>
            <w:fldChar w:fldCharType="end"/>
          </w:r>
          <w:r w:rsidRPr="007501CA">
            <w:rPr>
              <w:rFonts w:eastAsia="Calibri"/>
            </w:rPr>
            <w:t xml:space="preserve"> </w:t>
          </w:r>
        </w:p>
        <w:p w:rsidR="003C6EC3" w:rsidRPr="00D145FE" w:rsidRDefault="003C6EC3" w:rsidP="00196FB0">
          <w:pPr>
            <w:pStyle w:val="Header"/>
          </w:pPr>
          <w:r w:rsidRPr="007501CA">
            <w:rPr>
              <w:rFonts w:eastAsia="Calibri"/>
            </w:rPr>
            <w:fldChar w:fldCharType="begin"/>
          </w:r>
          <w:r w:rsidRPr="007501CA">
            <w:rPr>
              <w:rFonts w:eastAsia="Calibri"/>
            </w:rPr>
            <w:instrText xml:space="preserve"> SUBJECT   \* MERGEFORMAT </w:instrText>
          </w:r>
          <w:r w:rsidRPr="007501CA">
            <w:rPr>
              <w:rFonts w:eastAsia="Calibri"/>
            </w:rPr>
            <w:fldChar w:fldCharType="end"/>
          </w:r>
        </w:p>
      </w:tc>
      <w:tc>
        <w:tcPr>
          <w:tcW w:w="1074" w:type="dxa"/>
          <w:shd w:val="clear" w:color="auto" w:fill="3078BA"/>
          <w:vAlign w:val="center"/>
        </w:tcPr>
        <w:p w:rsidR="003C6EC3" w:rsidRPr="0044632D" w:rsidRDefault="003C6EC3" w:rsidP="00196FB0">
          <w:pPr>
            <w:pStyle w:val="Header"/>
            <w:rPr>
              <w:color w:val="3078BA"/>
            </w:rPr>
          </w:pPr>
          <w:r>
            <w:t>DRAFT 3</w:t>
          </w:r>
          <w:r w:rsidRPr="00CA3D48">
            <w:fldChar w:fldCharType="begin"/>
          </w:r>
          <w:r w:rsidRPr="00CA3D48">
            <w:instrText xml:space="preserve"> COMMENTS  \* Upper  \* MERGEFORMAT </w:instrText>
          </w:r>
          <w:r w:rsidRPr="00CA3D48">
            <w:fldChar w:fldCharType="end"/>
          </w:r>
        </w:p>
      </w:tc>
    </w:tr>
  </w:tbl>
  <w:p w:rsidR="003C6EC3" w:rsidRDefault="003C6EC3" w:rsidP="00196F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3" w:rsidRDefault="003C6EC3" w:rsidP="0022323C">
    <w:pPr>
      <w:pStyle w:val="Header"/>
    </w:pPr>
    <w:r>
      <w:rPr>
        <w:lang w:val="ro-RO" w:eastAsia="ro-RO"/>
      </w:rPr>
      <w:drawing>
        <wp:inline distT="0" distB="0" distL="0" distR="0" wp14:anchorId="235EE040" wp14:editId="09CDC687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6EC3" w:rsidRDefault="003C6EC3" w:rsidP="0022323C">
    <w:pPr>
      <w:pStyle w:val="Header"/>
    </w:pPr>
  </w:p>
  <w:p w:rsidR="003C6EC3" w:rsidRDefault="003C6EC3" w:rsidP="0022323C">
    <w:pPr>
      <w:pStyle w:val="Header"/>
      <w:jc w:val="center"/>
      <w:rPr>
        <w:b/>
      </w:rPr>
    </w:pPr>
    <w:r w:rsidRPr="00FA25AE">
      <w:rPr>
        <w:b/>
        <w:color w:val="2E74B5" w:themeColor="accent1" w:themeShade="BF"/>
      </w:rPr>
      <w:t xml:space="preserve">DEZVOLTARE ANTREPRENORIALĂ ÎN SPRIJINUL COMUNITĂȚII DIN REGIUNEA SUD-VEST OLTENIA </w:t>
    </w:r>
    <w:r w:rsidRPr="00FA25AE">
      <w:rPr>
        <w:b/>
        <w:color w:val="C45911" w:themeColor="accent2" w:themeShade="BF"/>
      </w:rPr>
      <w:t>(POCU/82/3/7/107279)</w:t>
    </w:r>
  </w:p>
  <w:p w:rsidR="003C6EC3" w:rsidRDefault="003C6EC3" w:rsidP="0022323C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3C6EC3" w:rsidRPr="00AB70E7" w:rsidRDefault="003C6EC3" w:rsidP="0022323C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  <w:p w:rsidR="003C6EC3" w:rsidRDefault="003C6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5716"/>
    <w:multiLevelType w:val="multilevel"/>
    <w:tmpl w:val="3F201A6A"/>
    <w:lvl w:ilvl="0">
      <w:start w:val="1"/>
      <w:numFmt w:val="upperRoman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4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3FC3C22"/>
    <w:multiLevelType w:val="hybridMultilevel"/>
    <w:tmpl w:val="37C83DE2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100"/>
    <w:multiLevelType w:val="hybridMultilevel"/>
    <w:tmpl w:val="BE9855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631CA5"/>
    <w:multiLevelType w:val="multilevel"/>
    <w:tmpl w:val="56A45392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5">
    <w:nsid w:val="718E21AA"/>
    <w:multiLevelType w:val="hybridMultilevel"/>
    <w:tmpl w:val="E252F7E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AA"/>
    <w:rsid w:val="00005C02"/>
    <w:rsid w:val="00007A0E"/>
    <w:rsid w:val="00014DF1"/>
    <w:rsid w:val="0002189F"/>
    <w:rsid w:val="000401D3"/>
    <w:rsid w:val="00042C15"/>
    <w:rsid w:val="000453E0"/>
    <w:rsid w:val="000536EE"/>
    <w:rsid w:val="000555AC"/>
    <w:rsid w:val="00073A8D"/>
    <w:rsid w:val="000870A4"/>
    <w:rsid w:val="000873FC"/>
    <w:rsid w:val="000876AA"/>
    <w:rsid w:val="000A5483"/>
    <w:rsid w:val="000A78AF"/>
    <w:rsid w:val="000B29BA"/>
    <w:rsid w:val="000B7193"/>
    <w:rsid w:val="000D2C2F"/>
    <w:rsid w:val="000D5392"/>
    <w:rsid w:val="000D6B0E"/>
    <w:rsid w:val="000F06F3"/>
    <w:rsid w:val="00114331"/>
    <w:rsid w:val="00124CE3"/>
    <w:rsid w:val="00126301"/>
    <w:rsid w:val="001356DD"/>
    <w:rsid w:val="00141910"/>
    <w:rsid w:val="001513D8"/>
    <w:rsid w:val="0015763E"/>
    <w:rsid w:val="00163D92"/>
    <w:rsid w:val="00164F33"/>
    <w:rsid w:val="001711A0"/>
    <w:rsid w:val="00175E29"/>
    <w:rsid w:val="00185606"/>
    <w:rsid w:val="00196FB0"/>
    <w:rsid w:val="001A22A7"/>
    <w:rsid w:val="001A402F"/>
    <w:rsid w:val="001B4EFC"/>
    <w:rsid w:val="001E1398"/>
    <w:rsid w:val="001F0369"/>
    <w:rsid w:val="00200929"/>
    <w:rsid w:val="002110B2"/>
    <w:rsid w:val="0022323C"/>
    <w:rsid w:val="00234CAF"/>
    <w:rsid w:val="002511F7"/>
    <w:rsid w:val="00251F75"/>
    <w:rsid w:val="00252144"/>
    <w:rsid w:val="00253041"/>
    <w:rsid w:val="0026475D"/>
    <w:rsid w:val="002718BA"/>
    <w:rsid w:val="002A2F9C"/>
    <w:rsid w:val="002A32D1"/>
    <w:rsid w:val="002A697B"/>
    <w:rsid w:val="002B0A5E"/>
    <w:rsid w:val="002B35F1"/>
    <w:rsid w:val="002C0822"/>
    <w:rsid w:val="002E5434"/>
    <w:rsid w:val="00335D7C"/>
    <w:rsid w:val="003426C7"/>
    <w:rsid w:val="00384A9B"/>
    <w:rsid w:val="0039093A"/>
    <w:rsid w:val="003C6EC3"/>
    <w:rsid w:val="003D198E"/>
    <w:rsid w:val="003F04A0"/>
    <w:rsid w:val="003F5F96"/>
    <w:rsid w:val="004006BB"/>
    <w:rsid w:val="00410921"/>
    <w:rsid w:val="004200CD"/>
    <w:rsid w:val="00422678"/>
    <w:rsid w:val="00425CA2"/>
    <w:rsid w:val="00427E36"/>
    <w:rsid w:val="00434EF0"/>
    <w:rsid w:val="00453976"/>
    <w:rsid w:val="00462B24"/>
    <w:rsid w:val="0047176A"/>
    <w:rsid w:val="00474515"/>
    <w:rsid w:val="00482461"/>
    <w:rsid w:val="00496DA0"/>
    <w:rsid w:val="004A17E4"/>
    <w:rsid w:val="004A5881"/>
    <w:rsid w:val="004E063D"/>
    <w:rsid w:val="004E26E3"/>
    <w:rsid w:val="00512C2F"/>
    <w:rsid w:val="005165CA"/>
    <w:rsid w:val="00520F5D"/>
    <w:rsid w:val="00521D5C"/>
    <w:rsid w:val="00533D7A"/>
    <w:rsid w:val="00535140"/>
    <w:rsid w:val="0054111D"/>
    <w:rsid w:val="0054699E"/>
    <w:rsid w:val="005514D5"/>
    <w:rsid w:val="005533A7"/>
    <w:rsid w:val="005A2A7F"/>
    <w:rsid w:val="005A755D"/>
    <w:rsid w:val="005D1135"/>
    <w:rsid w:val="005E1188"/>
    <w:rsid w:val="00615CB4"/>
    <w:rsid w:val="0064532B"/>
    <w:rsid w:val="00661740"/>
    <w:rsid w:val="00682B18"/>
    <w:rsid w:val="00687D87"/>
    <w:rsid w:val="00692CF2"/>
    <w:rsid w:val="006973FE"/>
    <w:rsid w:val="006E78AD"/>
    <w:rsid w:val="006F1E3E"/>
    <w:rsid w:val="00710B11"/>
    <w:rsid w:val="00726435"/>
    <w:rsid w:val="007335E6"/>
    <w:rsid w:val="00734F3D"/>
    <w:rsid w:val="00752183"/>
    <w:rsid w:val="007524B2"/>
    <w:rsid w:val="0075352D"/>
    <w:rsid w:val="00757D31"/>
    <w:rsid w:val="0076066D"/>
    <w:rsid w:val="00782045"/>
    <w:rsid w:val="00784B5A"/>
    <w:rsid w:val="00784EC2"/>
    <w:rsid w:val="007B2C61"/>
    <w:rsid w:val="007C221E"/>
    <w:rsid w:val="007C7DA9"/>
    <w:rsid w:val="007E64AB"/>
    <w:rsid w:val="00811DF2"/>
    <w:rsid w:val="0081747D"/>
    <w:rsid w:val="008179FF"/>
    <w:rsid w:val="00827B8A"/>
    <w:rsid w:val="008456DE"/>
    <w:rsid w:val="00847AE2"/>
    <w:rsid w:val="00847DB4"/>
    <w:rsid w:val="00853755"/>
    <w:rsid w:val="008672FA"/>
    <w:rsid w:val="008707B6"/>
    <w:rsid w:val="00870800"/>
    <w:rsid w:val="00871342"/>
    <w:rsid w:val="0087544E"/>
    <w:rsid w:val="0089572D"/>
    <w:rsid w:val="00897F5D"/>
    <w:rsid w:val="008A63B2"/>
    <w:rsid w:val="008B5B3C"/>
    <w:rsid w:val="008D7657"/>
    <w:rsid w:val="008E2100"/>
    <w:rsid w:val="008F44F7"/>
    <w:rsid w:val="0090228D"/>
    <w:rsid w:val="00911C1B"/>
    <w:rsid w:val="009125A4"/>
    <w:rsid w:val="0091557E"/>
    <w:rsid w:val="0092182A"/>
    <w:rsid w:val="00934A98"/>
    <w:rsid w:val="00936600"/>
    <w:rsid w:val="009428EB"/>
    <w:rsid w:val="00985825"/>
    <w:rsid w:val="009C0C20"/>
    <w:rsid w:val="009D48D8"/>
    <w:rsid w:val="009F405B"/>
    <w:rsid w:val="00A01359"/>
    <w:rsid w:val="00A4372E"/>
    <w:rsid w:val="00A442B4"/>
    <w:rsid w:val="00A54489"/>
    <w:rsid w:val="00A906CD"/>
    <w:rsid w:val="00A95D0C"/>
    <w:rsid w:val="00AA5583"/>
    <w:rsid w:val="00AB0FC7"/>
    <w:rsid w:val="00AE5339"/>
    <w:rsid w:val="00B05D61"/>
    <w:rsid w:val="00B10F73"/>
    <w:rsid w:val="00B26071"/>
    <w:rsid w:val="00B31EF8"/>
    <w:rsid w:val="00B37B4C"/>
    <w:rsid w:val="00B44735"/>
    <w:rsid w:val="00B72ED4"/>
    <w:rsid w:val="00B90BFE"/>
    <w:rsid w:val="00B9189A"/>
    <w:rsid w:val="00BB2C8D"/>
    <w:rsid w:val="00BE6C45"/>
    <w:rsid w:val="00BF3954"/>
    <w:rsid w:val="00C0279B"/>
    <w:rsid w:val="00C2362F"/>
    <w:rsid w:val="00C3437B"/>
    <w:rsid w:val="00C45058"/>
    <w:rsid w:val="00C45999"/>
    <w:rsid w:val="00C541EB"/>
    <w:rsid w:val="00C636B3"/>
    <w:rsid w:val="00C6607C"/>
    <w:rsid w:val="00C87308"/>
    <w:rsid w:val="00CA0F70"/>
    <w:rsid w:val="00CB76DA"/>
    <w:rsid w:val="00CC4A61"/>
    <w:rsid w:val="00CE3605"/>
    <w:rsid w:val="00CE4C03"/>
    <w:rsid w:val="00CF0E90"/>
    <w:rsid w:val="00D067FE"/>
    <w:rsid w:val="00D15525"/>
    <w:rsid w:val="00D239C7"/>
    <w:rsid w:val="00D40AB4"/>
    <w:rsid w:val="00D5037D"/>
    <w:rsid w:val="00D60870"/>
    <w:rsid w:val="00D902AD"/>
    <w:rsid w:val="00DA7748"/>
    <w:rsid w:val="00DA7C2B"/>
    <w:rsid w:val="00DB012C"/>
    <w:rsid w:val="00DD506D"/>
    <w:rsid w:val="00DD5E51"/>
    <w:rsid w:val="00E10F24"/>
    <w:rsid w:val="00E1232C"/>
    <w:rsid w:val="00E20217"/>
    <w:rsid w:val="00E33209"/>
    <w:rsid w:val="00E63700"/>
    <w:rsid w:val="00E709C1"/>
    <w:rsid w:val="00E768C8"/>
    <w:rsid w:val="00E77ECF"/>
    <w:rsid w:val="00E84806"/>
    <w:rsid w:val="00E92075"/>
    <w:rsid w:val="00EB2015"/>
    <w:rsid w:val="00ED383C"/>
    <w:rsid w:val="00F11B96"/>
    <w:rsid w:val="00F12C2B"/>
    <w:rsid w:val="00F141AA"/>
    <w:rsid w:val="00F35D90"/>
    <w:rsid w:val="00F4374B"/>
    <w:rsid w:val="00F61B83"/>
    <w:rsid w:val="00F64B32"/>
    <w:rsid w:val="00F655EB"/>
    <w:rsid w:val="00F67DD7"/>
    <w:rsid w:val="00F94964"/>
    <w:rsid w:val="00FB11D9"/>
    <w:rsid w:val="00FC3582"/>
    <w:rsid w:val="00FD4FDC"/>
    <w:rsid w:val="00FE0518"/>
    <w:rsid w:val="00FE267B"/>
    <w:rsid w:val="00FE3694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BFE"/>
    <w:pPr>
      <w:keepNext/>
      <w:keepLines/>
      <w:numPr>
        <w:numId w:val="3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9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9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9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9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uiPriority w:val="99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9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6B0E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noProof w:val="0"/>
      <w:color w:val="5B9BD5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D6B0E"/>
    <w:rPr>
      <w:rFonts w:ascii="Calibri" w:eastAsia="Calibri" w:hAnsi="Calibri" w:cs="Times New Roman"/>
      <w:i/>
      <w:iCs/>
      <w:color w:val="5B9BD5"/>
      <w:lang w:val="ro-RO"/>
    </w:rPr>
  </w:style>
  <w:style w:type="character" w:styleId="PageNumber">
    <w:name w:val="page number"/>
    <w:basedOn w:val="DefaultParagraphFont"/>
    <w:uiPriority w:val="99"/>
    <w:rsid w:val="000D6B0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90B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iCs/>
      <w:noProof/>
      <w:szCs w:val="24"/>
      <w:lang w:val="ro-RO"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0BFE"/>
    <w:pPr>
      <w:keepNext/>
      <w:keepLines/>
      <w:numPr>
        <w:numId w:val="3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90BFE"/>
    <w:pPr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"/>
    <w:unhideWhenUsed/>
    <w:qFormat/>
    <w:rsid w:val="00B90BFE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0BFE"/>
    <w:rPr>
      <w:rFonts w:eastAsiaTheme="majorEastAsia" w:cstheme="majorBidi"/>
      <w:iCs/>
      <w:noProof/>
      <w:color w:val="2E74B5" w:themeColor="accent1" w:themeShade="BF"/>
      <w:sz w:val="32"/>
      <w:szCs w:val="32"/>
      <w:lang w:val="ro-RO"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B90BFE"/>
    <w:rPr>
      <w:rFonts w:eastAsiaTheme="majorEastAsia" w:cstheme="majorBidi"/>
      <w:iCs/>
      <w:noProof/>
      <w:color w:val="2E74B5" w:themeColor="accent1" w:themeShade="BF"/>
      <w:sz w:val="28"/>
      <w:szCs w:val="32"/>
      <w:lang w:val="ro-RO" w:eastAsia="sk-SK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"/>
    <w:rsid w:val="00B90BFE"/>
    <w:rPr>
      <w:rFonts w:asciiTheme="majorHAnsi" w:eastAsiaTheme="majorEastAsia" w:hAnsiTheme="majorHAnsi" w:cstheme="majorBidi"/>
      <w:iCs/>
      <w:noProof/>
      <w:sz w:val="24"/>
      <w:szCs w:val="24"/>
      <w:lang w:val="ro-RO" w:eastAsia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FE"/>
    <w:rPr>
      <w:rFonts w:asciiTheme="majorHAnsi" w:eastAsiaTheme="majorEastAsia" w:hAnsiTheme="majorHAnsi" w:cstheme="majorBidi"/>
      <w:i/>
      <w:noProof/>
      <w:color w:val="2E74B5" w:themeColor="accent1" w:themeShade="BF"/>
      <w:szCs w:val="24"/>
      <w:lang w:val="ro-RO" w:eastAsia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FE"/>
    <w:rPr>
      <w:rFonts w:asciiTheme="majorHAnsi" w:eastAsiaTheme="majorEastAsia" w:hAnsiTheme="majorHAnsi" w:cstheme="majorBidi"/>
      <w:iCs/>
      <w:noProof/>
      <w:color w:val="2E74B5" w:themeColor="accent1" w:themeShade="BF"/>
      <w:szCs w:val="24"/>
      <w:lang w:val="ro-RO" w:eastAsia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FE"/>
    <w:rPr>
      <w:rFonts w:asciiTheme="majorHAnsi" w:eastAsiaTheme="majorEastAsia" w:hAnsiTheme="majorHAnsi" w:cstheme="majorBidi"/>
      <w:iCs/>
      <w:noProof/>
      <w:color w:val="1F4D78" w:themeColor="accent1" w:themeShade="7F"/>
      <w:szCs w:val="24"/>
      <w:lang w:val="ro-RO" w:eastAsia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FE"/>
    <w:rPr>
      <w:rFonts w:asciiTheme="majorHAnsi" w:eastAsiaTheme="majorEastAsia" w:hAnsiTheme="majorHAnsi" w:cstheme="majorBidi"/>
      <w:i/>
      <w:noProof/>
      <w:color w:val="1F4D78" w:themeColor="accent1" w:themeShade="7F"/>
      <w:szCs w:val="24"/>
      <w:lang w:val="ro-RO"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FE"/>
    <w:rPr>
      <w:rFonts w:asciiTheme="majorHAnsi" w:eastAsiaTheme="majorEastAsia" w:hAnsiTheme="majorHAnsi" w:cstheme="majorBidi"/>
      <w:iCs/>
      <w:noProof/>
      <w:color w:val="272727" w:themeColor="text1" w:themeTint="D8"/>
      <w:sz w:val="21"/>
      <w:szCs w:val="21"/>
      <w:lang w:val="ro-RO"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FE"/>
    <w:rPr>
      <w:rFonts w:asciiTheme="majorHAnsi" w:eastAsiaTheme="majorEastAsia" w:hAnsiTheme="majorHAnsi" w:cstheme="majorBidi"/>
      <w:i/>
      <w:noProof/>
      <w:color w:val="272727" w:themeColor="text1" w:themeTint="D8"/>
      <w:sz w:val="21"/>
      <w:szCs w:val="21"/>
      <w:lang w:val="ro-RO" w:eastAsia="sk-SK"/>
    </w:rPr>
  </w:style>
  <w:style w:type="paragraph" w:styleId="TOC1">
    <w:name w:val="toc 1"/>
    <w:basedOn w:val="Normal"/>
    <w:next w:val="Normal"/>
    <w:autoRedefine/>
    <w:uiPriority w:val="99"/>
    <w:rsid w:val="00014DF1"/>
    <w:pPr>
      <w:tabs>
        <w:tab w:val="left" w:pos="284"/>
        <w:tab w:val="right" w:leader="dot" w:pos="9062"/>
      </w:tabs>
      <w:spacing w:before="60"/>
    </w:pPr>
    <w:rPr>
      <w:b/>
      <w:szCs w:val="22"/>
    </w:rPr>
  </w:style>
  <w:style w:type="paragraph" w:styleId="TOC2">
    <w:name w:val="toc 2"/>
    <w:basedOn w:val="Normal"/>
    <w:next w:val="Normal"/>
    <w:autoRedefine/>
    <w:uiPriority w:val="99"/>
    <w:rsid w:val="00014DF1"/>
    <w:pPr>
      <w:tabs>
        <w:tab w:val="left" w:pos="567"/>
        <w:tab w:val="right" w:leader="dot" w:pos="9062"/>
      </w:tabs>
      <w:ind w:left="202"/>
    </w:pPr>
  </w:style>
  <w:style w:type="paragraph" w:styleId="TOC3">
    <w:name w:val="toc 3"/>
    <w:basedOn w:val="Normal"/>
    <w:next w:val="Normal"/>
    <w:autoRedefine/>
    <w:uiPriority w:val="99"/>
    <w:rsid w:val="00B90BFE"/>
    <w:pPr>
      <w:ind w:left="403"/>
    </w:pPr>
  </w:style>
  <w:style w:type="character" w:styleId="Emphasis">
    <w:name w:val="Emphasis"/>
    <w:uiPriority w:val="20"/>
    <w:qFormat/>
    <w:rsid w:val="00B90BFE"/>
    <w:rPr>
      <w:i/>
      <w:iCs/>
    </w:rPr>
  </w:style>
  <w:style w:type="paragraph" w:styleId="NoSpacing">
    <w:name w:val="No Spacing"/>
    <w:uiPriority w:val="99"/>
    <w:qFormat/>
    <w:rsid w:val="00B90BFE"/>
    <w:pPr>
      <w:spacing w:after="0" w:line="240" w:lineRule="auto"/>
      <w:jc w:val="both"/>
    </w:pPr>
    <w:rPr>
      <w:lang w:val="ro-RO" w:eastAsia="ro-RO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99"/>
    <w:qFormat/>
    <w:rsid w:val="00B90BFE"/>
    <w:pPr>
      <w:ind w:left="720"/>
      <w:contextualSpacing/>
    </w:pPr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basedOn w:val="DefaultParagraphFont"/>
    <w:link w:val="ListParagraph"/>
    <w:uiPriority w:val="99"/>
    <w:locked/>
    <w:rsid w:val="00B90BFE"/>
    <w:rPr>
      <w:rFonts w:eastAsia="Times New Roman"/>
      <w:iCs/>
      <w:noProof/>
      <w:szCs w:val="24"/>
      <w:lang w:val="ro-RO" w:eastAsia="sk-SK"/>
    </w:rPr>
  </w:style>
  <w:style w:type="paragraph" w:styleId="TOCHeading">
    <w:name w:val="TOC Heading"/>
    <w:basedOn w:val="Heading1"/>
    <w:next w:val="Normal"/>
    <w:uiPriority w:val="99"/>
    <w:unhideWhenUsed/>
    <w:qFormat/>
    <w:rsid w:val="00B90BFE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90BFE"/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Reference,stile 1,Footnote1,ft,Footnote2,Footnote3"/>
    <w:basedOn w:val="Normal"/>
    <w:link w:val="FootnoteTextChar"/>
    <w:uiPriority w:val="99"/>
    <w:unhideWhenUsed/>
    <w:rsid w:val="00B90BFE"/>
    <w:rPr>
      <w:sz w:val="20"/>
      <w:szCs w:val="20"/>
    </w:rPr>
  </w:style>
  <w:style w:type="character" w:customStyle="1" w:styleId="FootnoteTextChar">
    <w:name w:val="Footnote Text Char"/>
    <w:aliases w:val="Footnote Text Char Char Char1,Fußnote Char2,single space Char1,FOOTNOTES Char1,fn Char2,Podrozdział Char1,Footnote Char1,fn Char Char Char Char1,fn Char Char Char2,fn Char Char2,Fußnote Char Char Char Char2,Fußnote Char Char,ft Char"/>
    <w:basedOn w:val="DefaultParagraphFont"/>
    <w:link w:val="FootnoteText"/>
    <w:uiPriority w:val="99"/>
    <w:rsid w:val="00B90BFE"/>
    <w:rPr>
      <w:rFonts w:eastAsia="Times New Roman"/>
      <w:iCs/>
      <w:noProof/>
      <w:sz w:val="20"/>
      <w:szCs w:val="20"/>
      <w:lang w:val="ro-RO" w:eastAsia="sk-SK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Char1"/>
    <w:link w:val="BVIfnrChar1Char"/>
    <w:uiPriority w:val="99"/>
    <w:qFormat/>
    <w:rsid w:val="00B90BFE"/>
    <w:rPr>
      <w:vertAlign w:val="superscript"/>
    </w:rPr>
  </w:style>
  <w:style w:type="paragraph" w:customStyle="1" w:styleId="Default">
    <w:name w:val="Default"/>
    <w:uiPriority w:val="99"/>
    <w:rsid w:val="00B90B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character" w:styleId="Hyperlink">
    <w:name w:val="Hyperlink"/>
    <w:uiPriority w:val="99"/>
    <w:unhideWhenUsed/>
    <w:rsid w:val="00B90BFE"/>
    <w:rPr>
      <w:color w:val="0000FF"/>
      <w:u w:val="single"/>
    </w:rPr>
  </w:style>
  <w:style w:type="paragraph" w:customStyle="1" w:styleId="Standard">
    <w:name w:val="Standard"/>
    <w:rsid w:val="00B90BFE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eastAsia="zh-CN"/>
    </w:rPr>
  </w:style>
  <w:style w:type="character" w:customStyle="1" w:styleId="FootnoteCharacters">
    <w:name w:val="Footnote Characters"/>
    <w:rsid w:val="00B90B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0BFE"/>
    <w:rPr>
      <w:rFonts w:eastAsia="Times New Roman"/>
      <w:iCs/>
      <w:noProof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0BFE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0BFE"/>
    <w:rPr>
      <w:rFonts w:eastAsia="Times New Roman"/>
      <w:iCs/>
      <w:noProof/>
      <w:szCs w:val="24"/>
      <w:lang w:eastAsia="sk-SK"/>
    </w:rPr>
  </w:style>
  <w:style w:type="character" w:customStyle="1" w:styleId="hps">
    <w:name w:val="hps"/>
    <w:rsid w:val="00B90BFE"/>
  </w:style>
  <w:style w:type="character" w:styleId="Strong">
    <w:name w:val="Strong"/>
    <w:uiPriority w:val="22"/>
    <w:qFormat/>
    <w:rsid w:val="00B90BFE"/>
    <w:rPr>
      <w:b/>
      <w:bCs/>
    </w:rPr>
  </w:style>
  <w:style w:type="character" w:customStyle="1" w:styleId="Internetlink">
    <w:name w:val="Internet link"/>
    <w:rsid w:val="00B90BFE"/>
    <w:rPr>
      <w:color w:val="0000FF"/>
      <w:u w:val="single"/>
    </w:rPr>
  </w:style>
  <w:style w:type="character" w:customStyle="1" w:styleId="FootnoteSymbol">
    <w:name w:val="Footnote Symbol"/>
    <w:rsid w:val="00B90BFE"/>
    <w:rPr>
      <w:vertAlign w:val="superscript"/>
    </w:rPr>
  </w:style>
  <w:style w:type="paragraph" w:customStyle="1" w:styleId="ColorfulList-Accent11">
    <w:name w:val="Colorful List - Accent 11"/>
    <w:basedOn w:val="Standard"/>
    <w:rsid w:val="00B90BFE"/>
    <w:pPr>
      <w:ind w:left="720"/>
    </w:pPr>
  </w:style>
  <w:style w:type="paragraph" w:customStyle="1" w:styleId="E-Body1">
    <w:name w:val="E-Body 1"/>
    <w:basedOn w:val="Standard"/>
    <w:rsid w:val="00B90BFE"/>
  </w:style>
  <w:style w:type="paragraph" w:styleId="NormalWeb">
    <w:name w:val="Normal (Web)"/>
    <w:basedOn w:val="Normal"/>
    <w:uiPriority w:val="99"/>
    <w:unhideWhenUsed/>
    <w:rsid w:val="00B90BF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99"/>
    <w:rsid w:val="00B90BF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F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E"/>
    <w:rPr>
      <w:rFonts w:ascii="Tahoma" w:eastAsia="Times New Roman" w:hAnsi="Tahoma" w:cs="Tahoma"/>
      <w:iCs/>
      <w:noProof/>
      <w:sz w:val="16"/>
      <w:szCs w:val="16"/>
      <w:lang w:eastAsia="sk-SK"/>
    </w:rPr>
  </w:style>
  <w:style w:type="paragraph" w:customStyle="1" w:styleId="ListParagraph1">
    <w:name w:val="List Paragraph1"/>
    <w:basedOn w:val="Normal"/>
    <w:uiPriority w:val="34"/>
    <w:rsid w:val="00B90BFE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B90BFE"/>
  </w:style>
  <w:style w:type="table" w:customStyle="1" w:styleId="GridTable4-Accent61">
    <w:name w:val="Grid Table 4 - Accent 61"/>
    <w:basedOn w:val="TableNormal"/>
    <w:uiPriority w:val="49"/>
    <w:rsid w:val="00B90BFE"/>
    <w:rPr>
      <w:rFonts w:ascii="Calibri" w:eastAsia="Calibri" w:hAnsi="Calibri"/>
      <w:lang w:val="ro-R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odyText">
    <w:name w:val="Body Text"/>
    <w:basedOn w:val="Normal"/>
    <w:link w:val="BodyTextChar"/>
    <w:rsid w:val="00B90BFE"/>
    <w:rPr>
      <w:rFonts w:ascii="Times New Roman" w:hAnsi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B90BFE"/>
    <w:rPr>
      <w:rFonts w:ascii="Times New Roman" w:eastAsia="Times New Roman" w:hAnsi="Times New Roman"/>
      <w:iCs/>
      <w:noProof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B90BFE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B90BFE"/>
    <w:rPr>
      <w:rFonts w:ascii="Times New Roman" w:eastAsia="Times New Roman" w:hAnsi="Times New Roman"/>
      <w:b/>
      <w:iCs/>
      <w:noProof/>
      <w:sz w:val="24"/>
      <w:szCs w:val="20"/>
      <w:lang w:eastAsia="ro-RO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B90BFE"/>
    <w:rPr>
      <w:rFonts w:ascii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90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BFE"/>
    <w:pPr>
      <w:spacing w:after="200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BFE"/>
    <w:rPr>
      <w:rFonts w:ascii="Times New Roman" w:eastAsia="Times New Roman" w:hAnsi="Times New Roman"/>
      <w:iCs/>
      <w:noProof/>
      <w:sz w:val="20"/>
      <w:szCs w:val="20"/>
      <w:lang w:eastAsia="sk-SK"/>
    </w:rPr>
  </w:style>
  <w:style w:type="paragraph" w:customStyle="1" w:styleId="instruct">
    <w:name w:val="instruct"/>
    <w:basedOn w:val="Normal"/>
    <w:rsid w:val="00B90BFE"/>
    <w:pPr>
      <w:spacing w:before="40" w:after="40"/>
    </w:pPr>
    <w:rPr>
      <w:rFonts w:ascii="Trebuchet MS" w:hAnsi="Trebuchet MS" w:cs="Arial"/>
      <w:i/>
      <w:iCs w:val="0"/>
      <w:sz w:val="20"/>
      <w:szCs w:val="21"/>
    </w:rPr>
  </w:style>
  <w:style w:type="paragraph" w:customStyle="1" w:styleId="eval">
    <w:name w:val="eval"/>
    <w:basedOn w:val="Heading3"/>
    <w:rsid w:val="00B90BFE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B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BFE"/>
    <w:rPr>
      <w:rFonts w:ascii="Times New Roman" w:eastAsia="Times New Roman" w:hAnsi="Times New Roman"/>
      <w:b/>
      <w:bCs/>
      <w:iCs/>
      <w:noProof/>
      <w:sz w:val="20"/>
      <w:szCs w:val="20"/>
      <w:lang w:eastAsia="sk-S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BFE"/>
    <w:pPr>
      <w:spacing w:after="200"/>
    </w:pPr>
    <w:rPr>
      <w:i/>
      <w:iCs w:val="0"/>
      <w:color w:val="44546A" w:themeColor="text2"/>
      <w:sz w:val="18"/>
    </w:rPr>
  </w:style>
  <w:style w:type="paragraph" w:styleId="Revision">
    <w:name w:val="Revision"/>
    <w:hidden/>
    <w:uiPriority w:val="99"/>
    <w:semiHidden/>
    <w:rsid w:val="00B90BFE"/>
    <w:rPr>
      <w:rFonts w:ascii="Calibri" w:eastAsia="Calibri" w:hAnsi="Calibri"/>
      <w:lang w:val="ro-RO"/>
    </w:rPr>
  </w:style>
  <w:style w:type="paragraph" w:customStyle="1" w:styleId="criterii">
    <w:name w:val="criterii"/>
    <w:basedOn w:val="Normal"/>
    <w:rsid w:val="00B90BFE"/>
    <w:pPr>
      <w:shd w:val="clear" w:color="auto" w:fill="E6E6E6"/>
      <w:spacing w:before="240" w:after="120"/>
    </w:pPr>
    <w:rPr>
      <w:rFonts w:ascii="Trebuchet MS" w:hAnsi="Trebuchet MS"/>
      <w:b/>
      <w:bCs/>
      <w:snapToGrid w:val="0"/>
      <w:sz w:val="2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DefaultParagraphFont"/>
    <w:uiPriority w:val="99"/>
    <w:semiHidden/>
    <w:rsid w:val="00B90BFE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90BFE"/>
    <w:pPr>
      <w:spacing w:line="240" w:lineRule="exact"/>
    </w:pPr>
    <w:rPr>
      <w:rFonts w:eastAsiaTheme="minorHAnsi"/>
      <w:iCs w:val="0"/>
      <w:noProof w:val="0"/>
      <w:szCs w:val="22"/>
      <w:vertAlign w:val="superscript"/>
      <w:lang w:val="en-US" w:eastAsia="en-US"/>
    </w:rPr>
  </w:style>
  <w:style w:type="paragraph" w:customStyle="1" w:styleId="Criteriu">
    <w:name w:val="Criteriu"/>
    <w:basedOn w:val="ListParagraph"/>
    <w:link w:val="CriteriuChar"/>
    <w:qFormat/>
    <w:rsid w:val="00B90BFE"/>
    <w:pPr>
      <w:numPr>
        <w:numId w:val="2"/>
      </w:numPr>
      <w:spacing w:before="480" w:after="120"/>
      <w:ind w:left="360"/>
    </w:pPr>
    <w:rPr>
      <w:b/>
    </w:rPr>
  </w:style>
  <w:style w:type="character" w:customStyle="1" w:styleId="CriteriuChar">
    <w:name w:val="Criteriu Char"/>
    <w:basedOn w:val="ListParagraphChar"/>
    <w:link w:val="Criteriu"/>
    <w:rsid w:val="00B90BFE"/>
    <w:rPr>
      <w:rFonts w:eastAsia="Times New Roman"/>
      <w:b/>
      <w:iCs/>
      <w:noProof/>
      <w:szCs w:val="24"/>
      <w:lang w:val="ro-RO" w:eastAsia="sk-SK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6B0E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noProof w:val="0"/>
      <w:color w:val="5B9BD5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D6B0E"/>
    <w:rPr>
      <w:rFonts w:ascii="Calibri" w:eastAsia="Calibri" w:hAnsi="Calibri" w:cs="Times New Roman"/>
      <w:i/>
      <w:iCs/>
      <w:color w:val="5B9BD5"/>
      <w:lang w:val="ro-RO"/>
    </w:rPr>
  </w:style>
  <w:style w:type="character" w:styleId="PageNumber">
    <w:name w:val="page number"/>
    <w:basedOn w:val="DefaultParagraphFont"/>
    <w:uiPriority w:val="99"/>
    <w:rsid w:val="000D6B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3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2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29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69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934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77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96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4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19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8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9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45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83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BF88-BF00-47E1-BDE9-13D6E750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4412</Words>
  <Characters>25593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Andreia Anton</cp:lastModifiedBy>
  <cp:revision>3</cp:revision>
  <dcterms:created xsi:type="dcterms:W3CDTF">2018-09-20T09:56:00Z</dcterms:created>
  <dcterms:modified xsi:type="dcterms:W3CDTF">2018-09-21T14:23:00Z</dcterms:modified>
</cp:coreProperties>
</file>